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7F4D9F2">
      <w:pPr>
        <w:keepNext/>
        <w:keepLines/>
        <w:spacing w:before="260" w:after="260" w:line="416" w:lineRule="atLeast"/>
        <w:jc w:val="center"/>
        <w:outlineLvl w:val="1"/>
        <w:rPr>
          <w:rFonts w:hint="eastAsia" w:ascii="Times New Roman" w:hAnsi="Times New Roman" w:eastAsia="宋体"/>
          <w:b/>
          <w:bCs/>
          <w:sz w:val="28"/>
          <w:szCs w:val="28"/>
          <w:lang w:eastAsia="zh-CN"/>
        </w:rPr>
      </w:pPr>
    </w:p>
    <w:p w14:paraId="4CD3AE32">
      <w:pPr>
        <w:keepNext/>
        <w:keepLines/>
        <w:spacing w:before="260" w:after="260" w:line="416" w:lineRule="atLeast"/>
        <w:jc w:val="center"/>
        <w:outlineLvl w:val="1"/>
        <w:rPr>
          <w:rFonts w:hint="eastAsia" w:ascii="Times New Roman" w:hAnsi="Times New Roman"/>
          <w:b/>
          <w:bCs/>
          <w:sz w:val="28"/>
          <w:szCs w:val="28"/>
        </w:rPr>
      </w:pPr>
    </w:p>
    <w:p w14:paraId="6F135E11">
      <w:pPr>
        <w:pStyle w:val="2"/>
        <w:bidi w:val="0"/>
        <w:jc w:val="center"/>
        <w:rPr>
          <w:rFonts w:hint="eastAsia" w:ascii="Times New Roman" w:hAnsi="Times New Roman"/>
          <w:b/>
          <w:bCs/>
          <w:sz w:val="28"/>
          <w:szCs w:val="28"/>
        </w:rPr>
      </w:pPr>
      <w:r>
        <w:rPr>
          <w:rFonts w:hint="eastAsia" w:ascii="微软简老宋" w:hAnsi="微软简老宋" w:eastAsia="微软简老宋" w:cs="微软简老宋"/>
          <w:color w:val="FFFFFF" w:themeColor="background1"/>
          <w:sz w:val="84"/>
          <w:szCs w:val="84"/>
          <w14:textFill>
            <w14:solidFill>
              <w14:schemeClr w14:val="bg1"/>
            </w14:solidFill>
          </w14:textFill>
        </w:rPr>
        <w:t>《</w:t>
      </w:r>
      <w:r>
        <w:rPr>
          <w:rFonts w:hint="eastAsia" w:ascii="微软简老宋" w:hAnsi="微软简老宋" w:eastAsia="微软简老宋" w:cs="微软简老宋"/>
          <w:color w:val="FFFFFF" w:themeColor="background1"/>
          <w:sz w:val="84"/>
          <w:szCs w:val="84"/>
          <w:lang w:val="en-US" w:eastAsia="zh-CN"/>
          <w14:textFill>
            <w14:solidFill>
              <w14:schemeClr w14:val="bg1"/>
            </w14:solidFill>
          </w14:textFill>
        </w:rPr>
        <w:t>临床医学概论</w:t>
      </w:r>
      <w:r>
        <w:rPr>
          <w:rFonts w:hint="eastAsia" w:ascii="微软简老宋" w:hAnsi="微软简老宋" w:eastAsia="微软简老宋" w:cs="微软简老宋"/>
          <w:color w:val="FFFFFF" w:themeColor="background1"/>
          <w:sz w:val="84"/>
          <w:szCs w:val="84"/>
          <w14:textFill>
            <w14:solidFill>
              <w14:schemeClr w14:val="bg1"/>
            </w14:solidFill>
          </w14:textFill>
        </w:rPr>
        <w:t>》</w:t>
      </w:r>
    </w:p>
    <w:p w14:paraId="65666FEC">
      <w:pPr>
        <w:keepNext/>
        <w:keepLines/>
        <w:spacing w:before="260" w:after="260" w:line="416" w:lineRule="atLeast"/>
        <w:jc w:val="center"/>
        <w:outlineLvl w:val="1"/>
        <w:rPr>
          <w:rFonts w:hint="eastAsia" w:ascii="Times New Roman" w:hAnsi="Times New Roman"/>
          <w:b/>
          <w:bCs/>
          <w:sz w:val="52"/>
          <w:szCs w:val="52"/>
        </w:rPr>
      </w:pPr>
      <w:r>
        <w:rPr>
          <w:rFonts w:hint="eastAsia" w:ascii="Times New Roman" w:hAnsi="Times New Roman"/>
          <w:b/>
          <w:bCs/>
          <w:sz w:val="52"/>
          <w:szCs w:val="52"/>
        </w:rPr>
        <w:t>（第二版）</w:t>
      </w:r>
    </w:p>
    <w:p w14:paraId="48EE6581">
      <w:pPr>
        <w:keepNext/>
        <w:keepLines/>
        <w:spacing w:before="260" w:after="260" w:line="240" w:lineRule="auto"/>
        <w:jc w:val="center"/>
        <w:outlineLvl w:val="1"/>
        <w:rPr>
          <w:rFonts w:hint="eastAsia" w:ascii="Times New Roman" w:hAnsi="Times New Roman"/>
          <w:b/>
          <w:bCs/>
          <w:sz w:val="52"/>
          <w:szCs w:val="52"/>
        </w:rPr>
      </w:pPr>
    </w:p>
    <w:p w14:paraId="3396D662">
      <w:pPr>
        <w:keepNext/>
        <w:keepLines/>
        <w:spacing w:before="260" w:after="260" w:line="240" w:lineRule="auto"/>
        <w:jc w:val="center"/>
        <w:outlineLvl w:val="1"/>
        <w:rPr>
          <w:rFonts w:hint="eastAsia" w:ascii="Times New Roman" w:hAnsi="Times New Roman"/>
          <w:b/>
          <w:bCs/>
          <w:sz w:val="52"/>
          <w:szCs w:val="52"/>
        </w:rPr>
      </w:pPr>
    </w:p>
    <w:p w14:paraId="7044E655">
      <w:pPr>
        <w:keepNext/>
        <w:keepLines/>
        <w:spacing w:before="260" w:after="260" w:line="240" w:lineRule="auto"/>
        <w:jc w:val="center"/>
        <w:outlineLvl w:val="1"/>
        <w:rPr>
          <w:rFonts w:hint="eastAsia" w:ascii="Times New Roman" w:hAnsi="Times New Roman"/>
          <w:b/>
          <w:bCs/>
          <w:sz w:val="30"/>
          <w:szCs w:val="30"/>
          <w:lang w:val="en-US" w:eastAsia="zh-CN"/>
        </w:rPr>
      </w:pPr>
    </w:p>
    <w:p w14:paraId="3FC11C7F">
      <w:pPr>
        <w:keepNext/>
        <w:keepLines/>
        <w:spacing w:before="260" w:after="260" w:line="240" w:lineRule="auto"/>
        <w:jc w:val="center"/>
        <w:outlineLvl w:val="1"/>
        <w:rPr>
          <w:rFonts w:hint="default" w:ascii="Times New Roman" w:hAnsi="Times New Roman" w:eastAsia="宋体"/>
          <w:b/>
          <w:bCs/>
          <w:sz w:val="52"/>
          <w:szCs w:val="52"/>
          <w:lang w:val="en-US" w:eastAsia="zh-CN"/>
        </w:rPr>
      </w:pPr>
      <w:r>
        <w:rPr>
          <w:rFonts w:hint="eastAsia" w:ascii="Times New Roman" w:hAnsi="Times New Roman"/>
          <w:b/>
          <w:bCs/>
          <w:sz w:val="30"/>
          <w:szCs w:val="30"/>
          <w:lang w:val="en-US" w:eastAsia="zh-CN"/>
        </w:rPr>
        <w:t>中南大学出版社</w:t>
      </w:r>
    </w:p>
    <w:p w14:paraId="3055AC12">
      <w:pPr>
        <w:keepNext/>
        <w:keepLines/>
        <w:spacing w:before="260" w:after="260" w:line="240" w:lineRule="auto"/>
        <w:jc w:val="center"/>
        <w:outlineLvl w:val="1"/>
        <w:rPr>
          <w:rFonts w:hint="eastAsia" w:ascii="Times New Roman" w:hAnsi="Times New Roman"/>
          <w:b/>
          <w:bCs/>
          <w:sz w:val="52"/>
          <w:szCs w:val="52"/>
        </w:rPr>
      </w:pPr>
    </w:p>
    <w:p w14:paraId="40D341C7">
      <w:pPr>
        <w:keepNext/>
        <w:keepLines/>
        <w:spacing w:before="260" w:after="260" w:line="240" w:lineRule="auto"/>
        <w:jc w:val="center"/>
        <w:outlineLvl w:val="1"/>
        <w:rPr>
          <w:rFonts w:hint="eastAsia" w:ascii="Times New Roman" w:hAnsi="Times New Roman"/>
          <w:b/>
          <w:bCs/>
          <w:sz w:val="52"/>
          <w:szCs w:val="52"/>
        </w:rPr>
      </w:pPr>
    </w:p>
    <w:p w14:paraId="0677C41D">
      <w:pPr>
        <w:keepNext/>
        <w:keepLines/>
        <w:spacing w:before="260" w:after="260" w:line="240" w:lineRule="auto"/>
        <w:jc w:val="center"/>
        <w:outlineLvl w:val="1"/>
        <w:rPr>
          <w:rFonts w:hint="eastAsia" w:ascii="Times New Roman" w:hAnsi="Times New Roman"/>
          <w:b/>
          <w:bCs/>
          <w:sz w:val="52"/>
          <w:szCs w:val="52"/>
        </w:rPr>
      </w:pPr>
    </w:p>
    <w:p w14:paraId="440973A9">
      <w:pPr>
        <w:keepNext/>
        <w:keepLines/>
        <w:spacing w:before="260" w:after="260" w:line="240" w:lineRule="auto"/>
        <w:jc w:val="center"/>
        <w:outlineLvl w:val="1"/>
        <w:rPr>
          <w:rFonts w:hint="eastAsia" w:ascii="Times New Roman" w:hAnsi="Times New Roman"/>
          <w:b/>
          <w:bCs/>
          <w:sz w:val="28"/>
          <w:szCs w:val="28"/>
        </w:rPr>
      </w:pPr>
    </w:p>
    <w:p w14:paraId="6620F70F">
      <w:pPr>
        <w:keepNext/>
        <w:keepLines/>
        <w:spacing w:before="260" w:after="260" w:line="240" w:lineRule="auto"/>
        <w:jc w:val="center"/>
        <w:outlineLvl w:val="1"/>
        <w:rPr>
          <w:rFonts w:hint="eastAsia" w:ascii="Times New Roman" w:hAnsi="Times New Roman"/>
          <w:b/>
          <w:bCs/>
          <w:sz w:val="28"/>
          <w:szCs w:val="28"/>
        </w:rPr>
      </w:pPr>
    </w:p>
    <w:p w14:paraId="086DF60A">
      <w:pPr>
        <w:keepNext/>
        <w:keepLines/>
        <w:spacing w:before="260" w:after="260" w:line="240" w:lineRule="auto"/>
        <w:jc w:val="center"/>
        <w:outlineLvl w:val="1"/>
        <w:rPr>
          <w:rFonts w:hint="eastAsia" w:ascii="Times New Roman" w:hAnsi="Times New Roman"/>
          <w:b/>
          <w:bCs/>
          <w:sz w:val="28"/>
          <w:szCs w:val="28"/>
        </w:rPr>
      </w:pPr>
    </w:p>
    <w:p w14:paraId="05F095D4">
      <w:pPr>
        <w:keepNext/>
        <w:keepLines/>
        <w:spacing w:before="260" w:after="260" w:line="240" w:lineRule="auto"/>
        <w:jc w:val="center"/>
        <w:outlineLvl w:val="1"/>
        <w:rPr>
          <w:rFonts w:hint="eastAsia" w:ascii="Times New Roman" w:hAnsi="Times New Roman"/>
          <w:b/>
          <w:bCs/>
          <w:sz w:val="28"/>
          <w:szCs w:val="28"/>
        </w:rPr>
      </w:pPr>
    </w:p>
    <w:p w14:paraId="55204F96">
      <w:pPr>
        <w:keepNext/>
        <w:keepLines/>
        <w:spacing w:before="260" w:after="260" w:line="240" w:lineRule="auto"/>
        <w:jc w:val="center"/>
        <w:outlineLvl w:val="1"/>
        <w:rPr>
          <w:rFonts w:hint="eastAsia" w:ascii="Times New Roman" w:hAnsi="Times New Roman"/>
          <w:b/>
          <w:bCs/>
          <w:sz w:val="28"/>
          <w:szCs w:val="28"/>
        </w:rPr>
      </w:pPr>
    </w:p>
    <w:p w14:paraId="2701C8E0">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14:paraId="29151412">
      <w:pPr>
        <w:keepNext/>
        <w:keepLines/>
        <w:spacing w:before="260" w:after="260" w:line="416" w:lineRule="atLeast"/>
        <w:jc w:val="center"/>
        <w:outlineLvl w:val="1"/>
        <w:rPr>
          <w:rFonts w:hint="default" w:ascii="Times New Roman" w:hAnsi="Times New Roman" w:eastAsia="宋体"/>
          <w:b/>
          <w:bCs/>
          <w:color w:val="00B0F0"/>
          <w:sz w:val="28"/>
          <w:szCs w:val="28"/>
          <w:lang w:val="en-US" w:eastAsia="zh-CN"/>
        </w:rPr>
      </w:pPr>
      <w:r>
        <w:rPr>
          <w:rFonts w:hint="eastAsia" w:ascii="微软简老宋" w:hAnsi="微软简老宋" w:eastAsia="微软简老宋" w:cs="微软简老宋"/>
          <w:b w:val="0"/>
          <w:bCs w:val="0"/>
          <w:color w:val="00B0F0"/>
          <w:sz w:val="32"/>
          <w:szCs w:val="32"/>
          <w:lang w:val="en-US" w:eastAsia="zh-CN"/>
        </w:rPr>
        <w:t>项目十三  外科学总论</w:t>
      </w:r>
    </w:p>
    <w:tbl>
      <w:tblPr>
        <w:tblStyle w:val="10"/>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7208"/>
        <w:gridCol w:w="1696"/>
      </w:tblGrid>
      <w:tr w14:paraId="0E430BBD">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AADE88F">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904" w:type="dxa"/>
            <w:gridSpan w:val="2"/>
            <w:tcBorders>
              <w:tl2br w:val="nil"/>
              <w:tr2bl w:val="nil"/>
            </w:tcBorders>
            <w:vAlign w:val="center"/>
          </w:tcPr>
          <w:p w14:paraId="18611720">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eastAsia="宋体"/>
                <w:sz w:val="24"/>
                <w:szCs w:val="24"/>
                <w:lang w:eastAsia="zh-CN"/>
              </w:rPr>
              <w:t>外科学总论</w:t>
            </w:r>
          </w:p>
        </w:tc>
      </w:tr>
      <w:tr w14:paraId="68B618B0">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D5C31E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904" w:type="dxa"/>
            <w:gridSpan w:val="2"/>
            <w:tcBorders>
              <w:tl2br w:val="nil"/>
              <w:tr2bl w:val="nil"/>
            </w:tcBorders>
            <w:vAlign w:val="center"/>
          </w:tcPr>
          <w:p w14:paraId="586A68AE">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Cs w:val="20"/>
                <w:lang w:val="en-US" w:eastAsia="zh-CN"/>
              </w:rPr>
              <w:t>3</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135</w:t>
            </w:r>
            <w:r>
              <w:rPr>
                <w:rFonts w:hint="eastAsia" w:ascii="Times New Roman" w:hAnsi="宋体"/>
                <w:szCs w:val="20"/>
              </w:rPr>
              <w:t xml:space="preserve"> min）。</w:t>
            </w:r>
          </w:p>
        </w:tc>
      </w:tr>
      <w:tr w14:paraId="456B44CE">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1C345FD">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904" w:type="dxa"/>
            <w:gridSpan w:val="2"/>
            <w:tcBorders>
              <w:tl2br w:val="nil"/>
              <w:tr2bl w:val="nil"/>
            </w:tcBorders>
            <w:vAlign w:val="center"/>
          </w:tcPr>
          <w:p w14:paraId="3719F667">
            <w:pPr>
              <w:keepNext w:val="0"/>
              <w:keepLines w:val="0"/>
              <w:suppressLineNumbers w:val="0"/>
              <w:spacing w:before="0" w:beforeAutospacing="0" w:after="0" w:afterAutospacing="0" w:line="360" w:lineRule="auto"/>
              <w:ind w:left="0" w:right="0" w:hanging="8"/>
              <w:rPr>
                <w:rFonts w:hint="default"/>
                <w:b/>
                <w:color w:val="00B0F0"/>
                <w:sz w:val="24"/>
                <w:szCs w:val="24"/>
              </w:rPr>
            </w:pPr>
            <w:r>
              <w:rPr>
                <w:rFonts w:hint="default" w:hAnsi="宋体"/>
                <w:b/>
                <w:color w:val="00B0F0"/>
                <w:sz w:val="24"/>
                <w:szCs w:val="24"/>
              </w:rPr>
              <w:t>知识目标：</w:t>
            </w:r>
          </w:p>
          <w:p w14:paraId="47D94D1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宋体"/>
                <w:bCs/>
                <w:sz w:val="24"/>
                <w:szCs w:val="24"/>
              </w:rPr>
            </w:pPr>
            <w:r>
              <w:rPr>
                <w:rFonts w:hint="default" w:ascii="Times New Roman" w:hAnsi="宋体"/>
                <w:bCs/>
                <w:sz w:val="24"/>
                <w:szCs w:val="24"/>
                <w:lang w:val="en-US" w:eastAsia="zh-CN"/>
              </w:rPr>
              <w:t xml:space="preserve">1.掌握休克、肿瘤、烧伤的概念、临床表现、诊断及治疗。 </w:t>
            </w:r>
          </w:p>
          <w:p w14:paraId="2567362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2.熟悉休克、肿瘤、烧伤的病因及病理生理。</w:t>
            </w:r>
          </w:p>
          <w:p w14:paraId="1401C8D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宋体"/>
                <w:bCs/>
                <w:sz w:val="24"/>
                <w:szCs w:val="24"/>
                <w:lang w:val="en-US" w:eastAsia="zh-CN"/>
              </w:rPr>
            </w:pPr>
            <w:r>
              <w:rPr>
                <w:rFonts w:hint="eastAsia" w:ascii="Times New Roman" w:hAnsi="宋体"/>
                <w:bCs/>
                <w:sz w:val="24"/>
                <w:szCs w:val="24"/>
                <w:lang w:val="en-US" w:eastAsia="zh-CN"/>
              </w:rPr>
              <w:t>3.</w:t>
            </w:r>
            <w:r>
              <w:rPr>
                <w:rFonts w:hint="default" w:ascii="Times New Roman" w:hAnsi="宋体"/>
                <w:bCs/>
                <w:sz w:val="24"/>
                <w:szCs w:val="24"/>
                <w:lang w:val="en-US" w:eastAsia="zh-CN"/>
              </w:rPr>
              <w:t>能做出休克、肿瘤和烧伤等疾病的初步诊断。</w:t>
            </w:r>
          </w:p>
          <w:p w14:paraId="401001B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default" w:hAnsi="宋体"/>
                <w:b/>
                <w:color w:val="00B0F0"/>
                <w:sz w:val="24"/>
                <w:szCs w:val="24"/>
              </w:rPr>
            </w:pPr>
            <w:r>
              <w:rPr>
                <w:rFonts w:hint="eastAsia" w:hAnsi="宋体"/>
                <w:b/>
                <w:color w:val="00B0F0"/>
                <w:sz w:val="24"/>
                <w:szCs w:val="24"/>
                <w:lang w:val="en-US" w:eastAsia="zh-CN"/>
              </w:rPr>
              <w:t>能力</w:t>
            </w:r>
            <w:r>
              <w:rPr>
                <w:rFonts w:hint="default" w:hAnsi="宋体"/>
                <w:b/>
                <w:color w:val="00B0F0"/>
                <w:sz w:val="24"/>
                <w:szCs w:val="24"/>
              </w:rPr>
              <w:t>目标：</w:t>
            </w:r>
          </w:p>
          <w:p w14:paraId="6CFDB90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default" w:hAnsi="宋体" w:eastAsia="宋体"/>
                <w:b/>
                <w:color w:val="00B0F0"/>
                <w:sz w:val="24"/>
                <w:szCs w:val="24"/>
                <w:lang w:val="en-US" w:eastAsia="zh-CN"/>
              </w:rPr>
            </w:pPr>
            <w:r>
              <w:rPr>
                <w:rFonts w:hint="eastAsia" w:hAnsi="宋体"/>
                <w:b/>
                <w:color w:val="00B0F0"/>
                <w:sz w:val="24"/>
                <w:szCs w:val="24"/>
                <w:lang w:val="en-US" w:eastAsia="zh-CN"/>
              </w:rPr>
              <w:t xml:space="preserve">   </w:t>
            </w:r>
            <w:r>
              <w:rPr>
                <w:rFonts w:hint="eastAsia" w:hAnsi="宋体"/>
                <w:b w:val="0"/>
                <w:bCs/>
                <w:color w:val="auto"/>
                <w:sz w:val="24"/>
                <w:szCs w:val="24"/>
                <w:lang w:val="en-US" w:eastAsia="zh-CN"/>
              </w:rPr>
              <w:t xml:space="preserve"> 能做出休克、肿瘤、烧伤等疾病的初步诊断。</w:t>
            </w:r>
          </w:p>
          <w:p w14:paraId="21C8D725">
            <w:pPr>
              <w:keepNext w:val="0"/>
              <w:keepLines w:val="0"/>
              <w:suppressLineNumbers w:val="0"/>
              <w:spacing w:before="0" w:beforeAutospacing="0" w:after="0" w:afterAutospacing="0" w:line="360" w:lineRule="auto"/>
              <w:ind w:right="0"/>
              <w:rPr>
                <w:rFonts w:hint="default" w:ascii="Times New Roman" w:hAnsi="Times New Roman"/>
                <w:b/>
                <w:color w:val="00B0F0"/>
                <w:sz w:val="24"/>
                <w:szCs w:val="24"/>
              </w:rPr>
            </w:pPr>
            <w:r>
              <w:rPr>
                <w:rFonts w:hint="eastAsia" w:ascii="Times New Roman" w:hAnsi="Times New Roman"/>
                <w:b/>
                <w:color w:val="00B0F0"/>
                <w:sz w:val="24"/>
                <w:szCs w:val="24"/>
                <w:lang w:val="en-US" w:eastAsia="zh-CN"/>
              </w:rPr>
              <w:t>素质</w:t>
            </w:r>
            <w:bookmarkStart w:id="0" w:name="_GoBack"/>
            <w:bookmarkEnd w:id="0"/>
            <w:r>
              <w:rPr>
                <w:rFonts w:hint="default" w:ascii="Times New Roman" w:hAnsi="Times New Roman"/>
                <w:b/>
                <w:color w:val="00B0F0"/>
                <w:sz w:val="24"/>
                <w:szCs w:val="24"/>
              </w:rPr>
              <w:t>目标</w:t>
            </w:r>
            <w:r>
              <w:rPr>
                <w:rFonts w:hint="eastAsia" w:ascii="Times New Roman" w:hAnsi="Times New Roman"/>
                <w:b/>
                <w:color w:val="00B0F0"/>
                <w:sz w:val="24"/>
                <w:szCs w:val="24"/>
              </w:rPr>
              <w:t>：</w:t>
            </w:r>
          </w:p>
          <w:p w14:paraId="3B14E64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default" w:ascii="Times New Roman" w:hAnsi="Times New Roman"/>
                <w:sz w:val="24"/>
                <w:szCs w:val="24"/>
              </w:rPr>
            </w:pPr>
            <w:r>
              <w:rPr>
                <w:rFonts w:hint="default" w:ascii="宋体" w:hAnsi="宋体" w:eastAsia="宋体" w:cs="宋体"/>
                <w:color w:val="auto"/>
                <w:sz w:val="24"/>
                <w:szCs w:val="24"/>
              </w:rPr>
              <w:t>深化尊重关爱患者的职业自觉，强化团队协作意识，在医疗服务中展现卓越职业风采。</w:t>
            </w:r>
          </w:p>
        </w:tc>
      </w:tr>
      <w:tr w14:paraId="718611A9">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02B2DCBF">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904" w:type="dxa"/>
            <w:gridSpan w:val="2"/>
            <w:tcBorders>
              <w:tl2br w:val="nil"/>
              <w:tr2bl w:val="nil"/>
            </w:tcBorders>
            <w:vAlign w:val="center"/>
          </w:tcPr>
          <w:p w14:paraId="0B11D61E">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Times New Roman"/>
                <w:b/>
                <w:color w:val="00B0F0"/>
                <w:sz w:val="24"/>
                <w:szCs w:val="24"/>
              </w:rPr>
              <w:t>教学重点：</w:t>
            </w:r>
            <w:r>
              <w:rPr>
                <w:rFonts w:hint="eastAsia" w:ascii="宋体" w:hAnsi="宋体" w:cs="宋体"/>
                <w:kern w:val="0"/>
                <w:sz w:val="24"/>
                <w:szCs w:val="24"/>
                <w:lang w:val="en-US" w:eastAsia="zh-CN"/>
              </w:rPr>
              <w:t>休克、肿瘤、烧伤的临床表现及治疗</w:t>
            </w:r>
          </w:p>
          <w:p w14:paraId="0F6B2CA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color w:val="00B0F0"/>
                <w:sz w:val="24"/>
                <w:szCs w:val="24"/>
              </w:rPr>
              <w:t>教学难点：</w:t>
            </w:r>
            <w:r>
              <w:rPr>
                <w:rFonts w:hint="default" w:ascii="Times New Roman" w:hAnsi="宋体"/>
                <w:bCs/>
                <w:sz w:val="24"/>
                <w:szCs w:val="24"/>
                <w:lang w:val="en-US" w:eastAsia="zh-CN"/>
              </w:rPr>
              <w:t>休克、肿瘤、烧伤的病理生理</w:t>
            </w:r>
          </w:p>
        </w:tc>
      </w:tr>
      <w:tr w14:paraId="2B767BC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08DC9FB2">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904" w:type="dxa"/>
            <w:gridSpan w:val="2"/>
            <w:tcBorders>
              <w:tl2br w:val="nil"/>
              <w:tr2bl w:val="nil"/>
            </w:tcBorders>
            <w:vAlign w:val="center"/>
          </w:tcPr>
          <w:p w14:paraId="10E07B3C">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2ACBE78C">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ABC4DE6">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904" w:type="dxa"/>
            <w:gridSpan w:val="2"/>
            <w:tcBorders>
              <w:tl2br w:val="nil"/>
              <w:tr2bl w:val="nil"/>
            </w:tcBorders>
            <w:vAlign w:val="center"/>
          </w:tcPr>
          <w:p w14:paraId="2D9607AA">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79A8E23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bottom w:val="double" w:color="4472C4" w:themeColor="accent5" w:sz="4" w:space="0"/>
              <w:tl2br w:val="nil"/>
              <w:tr2bl w:val="nil"/>
            </w:tcBorders>
            <w:shd w:val="clear" w:color="auto" w:fill="B7F1FF"/>
            <w:vAlign w:val="center"/>
          </w:tcPr>
          <w:p w14:paraId="03A60432">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904" w:type="dxa"/>
            <w:gridSpan w:val="2"/>
            <w:tcBorders>
              <w:bottom w:val="double" w:color="4472C4" w:themeColor="accent5" w:sz="4" w:space="0"/>
              <w:tl2br w:val="nil"/>
              <w:tr2bl w:val="nil"/>
            </w:tcBorders>
            <w:vAlign w:val="center"/>
          </w:tcPr>
          <w:p w14:paraId="4E3DEC72">
            <w:pPr>
              <w:keepNext w:val="0"/>
              <w:keepLines w:val="0"/>
              <w:suppressLineNumbers w:val="0"/>
              <w:spacing w:before="0" w:beforeAutospacing="0" w:after="0" w:afterAutospacing="0" w:line="360" w:lineRule="auto"/>
              <w:ind w:left="0" w:right="0" w:hanging="8"/>
              <w:rPr>
                <w:rFonts w:hint="default" w:ascii="Times New Roman" w:hAnsi="宋体"/>
                <w:sz w:val="24"/>
                <w:szCs w:val="24"/>
                <w:lang w:val="en-US" w:eastAsia="zh-CN"/>
              </w:rPr>
            </w:pPr>
            <w:r>
              <w:rPr>
                <w:rFonts w:hint="default" w:ascii="Times New Roman" w:hAnsi="宋体"/>
                <w:sz w:val="24"/>
                <w:szCs w:val="24"/>
              </w:rPr>
              <w:t>第1节课：</w:t>
            </w:r>
            <w:r>
              <w:rPr>
                <w:rFonts w:hint="default" w:ascii="Times New Roman" w:hAnsi="宋体"/>
                <w:sz w:val="24"/>
                <w:szCs w:val="24"/>
                <w:lang w:eastAsia="zh-CN"/>
              </w:rPr>
              <w:t>考勤</w:t>
            </w:r>
            <w:r>
              <w:rPr>
                <w:rFonts w:hint="default" w:ascii="Times New Roman" w:hAnsi="宋体"/>
                <w:sz w:val="24"/>
                <w:szCs w:val="24"/>
              </w:rPr>
              <w:t>（</w:t>
            </w:r>
            <w:r>
              <w:rPr>
                <w:rFonts w:hint="default" w:ascii="Times New Roman" w:hAnsi="宋体"/>
                <w:sz w:val="24"/>
                <w:szCs w:val="24"/>
                <w:lang w:val="en-US" w:eastAsia="zh-CN"/>
              </w:rPr>
              <w:t>2</w:t>
            </w:r>
            <w:r>
              <w:rPr>
                <w:rFonts w:hint="default" w:ascii="Times New Roman" w:hAnsi="宋体"/>
                <w:sz w:val="24"/>
                <w:szCs w:val="24"/>
              </w:rPr>
              <w:t>min）--</w:t>
            </w:r>
            <w:r>
              <w:rPr>
                <w:rFonts w:hint="default" w:ascii="Times New Roman" w:hAnsi="宋体"/>
                <w:sz w:val="24"/>
                <w:szCs w:val="24"/>
                <w:lang w:eastAsia="zh-CN"/>
              </w:rPr>
              <w:t>知识讲解</w:t>
            </w:r>
            <w:r>
              <w:rPr>
                <w:rFonts w:hint="default" w:ascii="Times New Roman" w:hAnsi="宋体"/>
                <w:sz w:val="24"/>
                <w:szCs w:val="24"/>
              </w:rPr>
              <w:t>（40min）</w:t>
            </w:r>
            <w:r>
              <w:rPr>
                <w:rFonts w:hint="default" w:ascii="Times New Roman" w:hAnsi="宋体"/>
                <w:sz w:val="24"/>
                <w:szCs w:val="24"/>
                <w:lang w:val="en-US" w:eastAsia="zh-CN"/>
              </w:rPr>
              <w:t>--作业布置（3min）</w:t>
            </w:r>
          </w:p>
          <w:p w14:paraId="14FA4BCF">
            <w:pPr>
              <w:keepNext w:val="0"/>
              <w:keepLines w:val="0"/>
              <w:suppressLineNumbers w:val="0"/>
              <w:spacing w:before="0" w:beforeAutospacing="0" w:after="0" w:afterAutospacing="0" w:line="360" w:lineRule="auto"/>
              <w:ind w:left="0" w:right="0" w:hanging="8"/>
              <w:rPr>
                <w:rFonts w:hint="default" w:ascii="Times New Roman" w:hAnsi="宋体"/>
                <w:sz w:val="24"/>
                <w:szCs w:val="24"/>
                <w:lang w:val="en-US" w:eastAsia="zh-CN"/>
              </w:rPr>
            </w:pPr>
            <w:r>
              <w:rPr>
                <w:rFonts w:hint="default" w:ascii="Times New Roman" w:hAnsi="宋体"/>
                <w:sz w:val="24"/>
                <w:szCs w:val="24"/>
              </w:rPr>
              <w:t>第2节课：</w:t>
            </w:r>
            <w:r>
              <w:rPr>
                <w:rFonts w:hint="default" w:ascii="Times New Roman" w:hAnsi="宋体"/>
                <w:sz w:val="24"/>
                <w:szCs w:val="24"/>
                <w:lang w:eastAsia="zh-CN"/>
              </w:rPr>
              <w:t>知识讲解</w:t>
            </w:r>
            <w:r>
              <w:rPr>
                <w:rFonts w:hint="default" w:ascii="Times New Roman" w:hAnsi="宋体"/>
                <w:sz w:val="24"/>
                <w:szCs w:val="24"/>
              </w:rPr>
              <w:t>（40min）--</w:t>
            </w:r>
            <w:r>
              <w:rPr>
                <w:rFonts w:hint="default" w:ascii="Times New Roman" w:hAnsi="宋体"/>
                <w:sz w:val="24"/>
                <w:szCs w:val="24"/>
                <w:lang w:eastAsia="zh-CN"/>
              </w:rPr>
              <w:t>课堂小结</w:t>
            </w:r>
            <w:r>
              <w:rPr>
                <w:rFonts w:hint="default" w:ascii="Times New Roman" w:hAnsi="宋体"/>
                <w:sz w:val="24"/>
                <w:szCs w:val="24"/>
              </w:rPr>
              <w:t>（3min）</w:t>
            </w:r>
            <w:r>
              <w:rPr>
                <w:rFonts w:hint="default" w:ascii="Times New Roman" w:hAnsi="宋体"/>
                <w:sz w:val="24"/>
                <w:szCs w:val="24"/>
                <w:lang w:val="en-US" w:eastAsia="zh-CN"/>
              </w:rPr>
              <w:t>--作业布置（2min）</w:t>
            </w:r>
          </w:p>
          <w:p w14:paraId="128B1B50">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宋体"/>
                <w:sz w:val="24"/>
                <w:szCs w:val="24"/>
              </w:rPr>
              <w:t>第3节课：</w:t>
            </w:r>
            <w:r>
              <w:rPr>
                <w:rFonts w:hint="default" w:ascii="Times New Roman" w:hAnsi="宋体"/>
                <w:sz w:val="24"/>
                <w:szCs w:val="24"/>
                <w:lang w:eastAsia="zh-CN"/>
              </w:rPr>
              <w:t>知识讲解</w:t>
            </w:r>
            <w:r>
              <w:rPr>
                <w:rFonts w:hint="default" w:ascii="Times New Roman" w:hAnsi="宋体"/>
                <w:sz w:val="24"/>
                <w:szCs w:val="24"/>
              </w:rPr>
              <w:t>（40min）--</w:t>
            </w:r>
            <w:r>
              <w:rPr>
                <w:rFonts w:hint="default" w:ascii="Times New Roman" w:hAnsi="宋体"/>
                <w:sz w:val="24"/>
                <w:szCs w:val="24"/>
                <w:lang w:eastAsia="zh-CN"/>
              </w:rPr>
              <w:t>课堂小结</w:t>
            </w:r>
            <w:r>
              <w:rPr>
                <w:rFonts w:hint="default" w:ascii="Times New Roman" w:hAnsi="宋体"/>
                <w:sz w:val="24"/>
                <w:szCs w:val="24"/>
              </w:rPr>
              <w:t>（3min）--</w:t>
            </w:r>
            <w:r>
              <w:rPr>
                <w:rFonts w:hint="default" w:ascii="Times New Roman" w:hAnsi="宋体"/>
                <w:sz w:val="24"/>
                <w:szCs w:val="24"/>
                <w:lang w:eastAsia="zh-CN"/>
              </w:rPr>
              <w:t>作业布置</w:t>
            </w:r>
            <w:r>
              <w:rPr>
                <w:rFonts w:hint="default" w:ascii="Times New Roman" w:hAnsi="宋体"/>
                <w:sz w:val="24"/>
                <w:szCs w:val="24"/>
              </w:rPr>
              <w:t>（2min）</w:t>
            </w:r>
          </w:p>
        </w:tc>
      </w:tr>
      <w:tr w14:paraId="27DB7ABE">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bottom w:val="double" w:color="4472C4" w:themeColor="accent5" w:sz="4" w:space="0"/>
            </w:tcBorders>
            <w:shd w:val="clear" w:color="auto" w:fill="00B0F0"/>
            <w:vAlign w:val="center"/>
          </w:tcPr>
          <w:p w14:paraId="4C8BA07B">
            <w:pPr>
              <w:keepNext w:val="0"/>
              <w:keepLines w:val="0"/>
              <w:suppressLineNumbers w:val="0"/>
              <w:spacing w:before="0" w:beforeAutospacing="0" w:after="0" w:afterAutospacing="0" w:line="360" w:lineRule="auto"/>
              <w:ind w:left="0" w:right="0" w:hanging="8"/>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教学过程</w:t>
            </w:r>
          </w:p>
        </w:tc>
        <w:tc>
          <w:tcPr>
            <w:tcW w:w="7208" w:type="dxa"/>
            <w:tcBorders>
              <w:top w:val="double" w:color="4472C4" w:themeColor="accent5" w:sz="4" w:space="0"/>
              <w:bottom w:val="double" w:color="4472C4" w:themeColor="accent5" w:sz="4" w:space="0"/>
            </w:tcBorders>
            <w:shd w:val="clear" w:color="auto" w:fill="00B0F0"/>
            <w:vAlign w:val="center"/>
          </w:tcPr>
          <w:p w14:paraId="1AC0539D">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主要教学内容及步骤</w:t>
            </w:r>
          </w:p>
        </w:tc>
        <w:tc>
          <w:tcPr>
            <w:tcW w:w="1696" w:type="dxa"/>
            <w:tcBorders>
              <w:top w:val="double" w:color="4472C4" w:themeColor="accent5" w:sz="4" w:space="0"/>
              <w:bottom w:val="double" w:color="4472C4" w:themeColor="accent5" w:sz="4" w:space="0"/>
            </w:tcBorders>
            <w:shd w:val="clear" w:color="auto" w:fill="00B0F0"/>
            <w:vAlign w:val="center"/>
          </w:tcPr>
          <w:p w14:paraId="76F5AABF">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default" w:ascii="Times New Roman" w:hAnsi="Times New Roman"/>
                <w:b/>
                <w:bCs w:val="0"/>
                <w:color w:val="FFFFFF" w:themeColor="background1"/>
                <w:sz w:val="24"/>
                <w:szCs w:val="24"/>
                <w14:textFill>
                  <w14:solidFill>
                    <w14:schemeClr w14:val="bg1"/>
                  </w14:solidFill>
                </w14:textFill>
              </w:rPr>
              <w:t>设计意图</w:t>
            </w:r>
          </w:p>
        </w:tc>
      </w:tr>
      <w:tr w14:paraId="6D6F8D38">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7484C3BD">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14:paraId="38D1D44A">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208" w:type="dxa"/>
            <w:tcBorders>
              <w:top w:val="double" w:color="4472C4" w:themeColor="accent5" w:sz="4" w:space="0"/>
              <w:tl2br w:val="nil"/>
              <w:tr2bl w:val="nil"/>
            </w:tcBorders>
            <w:vAlign w:val="center"/>
          </w:tcPr>
          <w:p w14:paraId="421ED0F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0E0E96E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96" w:type="dxa"/>
            <w:tcBorders>
              <w:top w:val="double" w:color="4472C4" w:themeColor="accent5" w:sz="4" w:space="0"/>
              <w:tl2br w:val="nil"/>
              <w:tr2bl w:val="nil"/>
            </w:tcBorders>
            <w:vAlign w:val="center"/>
          </w:tcPr>
          <w:p w14:paraId="3955A998">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6D49429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A35535C">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23222FE0">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vAlign w:val="center"/>
          </w:tcPr>
          <w:p w14:paraId="11432F6E">
            <w:pPr>
              <w:keepNext w:val="0"/>
              <w:keepLines w:val="0"/>
              <w:widowControl/>
              <w:suppressLineNumbers w:val="0"/>
              <w:spacing w:before="0" w:beforeAutospacing="0" w:after="0" w:afterAutospacing="0" w:line="360" w:lineRule="auto"/>
              <w:ind w:left="0" w:right="0"/>
              <w:jc w:val="both"/>
              <w:rPr>
                <w:rFonts w:hint="eastAsia" w:ascii="宋体" w:hAnsi="宋体" w:eastAsia="宋体" w:cs="宋体"/>
                <w:b/>
                <w:color w:val="C00000"/>
                <w:sz w:val="24"/>
                <w:szCs w:val="24"/>
                <w:lang w:eastAsia="zh-CN"/>
              </w:rPr>
            </w:pPr>
            <w:r>
              <w:rPr>
                <w:rFonts w:hint="eastAsia" w:ascii="宋体" w:hAnsi="宋体" w:eastAsia="宋体" w:cs="宋体"/>
                <w:b/>
                <w:color w:val="C00000"/>
                <w:sz w:val="24"/>
                <w:szCs w:val="24"/>
                <w:lang w:val="en-US" w:eastAsia="zh-CN"/>
              </w:rPr>
              <w:t>【</w:t>
            </w:r>
            <w:r>
              <w:rPr>
                <w:rFonts w:hint="eastAsia" w:ascii="宋体" w:hAnsi="宋体" w:eastAsia="宋体" w:cs="宋体"/>
                <w:b/>
                <w:color w:val="C00000"/>
                <w:sz w:val="24"/>
                <w:szCs w:val="24"/>
              </w:rPr>
              <w:t>教师】</w:t>
            </w:r>
            <w:r>
              <w:rPr>
                <w:rFonts w:hint="eastAsia" w:ascii="宋体" w:hAnsi="宋体" w:eastAsia="宋体" w:cs="宋体"/>
                <w:b w:val="0"/>
                <w:bCs/>
                <w:color w:val="C00000"/>
                <w:sz w:val="24"/>
                <w:szCs w:val="24"/>
                <w:lang w:val="en-US" w:eastAsia="zh-CN"/>
              </w:rPr>
              <w:t>展示休克</w:t>
            </w:r>
          </w:p>
          <w:p w14:paraId="2E4DC9E7">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休克（shock）是各种原因引起机体有效循环血量急剧减少，组织血液灌注不足，导致细胞缺氧，代谢障碍和功能受损的临床综合征。休克按病因和发病机制分为低血容量性、感染性、心源性、神经性和过敏性休克 5 类。低血容量性休克和感染性休克在外科较为常见。 </w:t>
            </w:r>
          </w:p>
          <w:p w14:paraId="69B34C75">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一、病理生理</w:t>
            </w:r>
            <w:r>
              <w:rPr>
                <w:rFonts w:hint="eastAsia" w:ascii="宋体" w:hAnsi="宋体" w:eastAsia="宋体" w:cs="宋体"/>
                <w:bCs/>
                <w:sz w:val="24"/>
                <w:szCs w:val="24"/>
                <w:lang w:val="en-US" w:eastAsia="zh-CN"/>
              </w:rPr>
              <w:t xml:space="preserve"> </w:t>
            </w:r>
          </w:p>
          <w:p w14:paraId="7E43797D">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不同类型休克发生时，均存在有效循环血容量减少，组织灌注不足以及炎症介质产生等基本改变，病理生理变化是构成临床表现的基础。 </w:t>
            </w:r>
          </w:p>
          <w:p w14:paraId="47EB6844">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（一）微循环变化</w:t>
            </w:r>
            <w:r>
              <w:rPr>
                <w:rFonts w:hint="eastAsia" w:ascii="宋体" w:hAnsi="宋体" w:eastAsia="宋体" w:cs="宋体"/>
                <w:bCs/>
                <w:sz w:val="24"/>
                <w:szCs w:val="24"/>
                <w:lang w:val="en-US" w:eastAsia="zh-CN"/>
              </w:rPr>
              <w:t xml:space="preserve"> </w:t>
            </w:r>
          </w:p>
          <w:p w14:paraId="6C4448CB">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机体有效循环血量的维持依赖于充足的血容量，有效的心脏排血功能和适宜的周围血管阻力三种因素的协调配合，其中任何一种因素发生改变都可以引起微循环的变化。 </w:t>
            </w:r>
          </w:p>
          <w:p w14:paraId="07EDA626">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 xml:space="preserve">1. 微循环收缩期 </w:t>
            </w:r>
            <w:r>
              <w:rPr>
                <w:rFonts w:hint="eastAsia" w:ascii="宋体" w:hAnsi="宋体" w:eastAsia="宋体" w:cs="宋体"/>
                <w:bCs/>
                <w:sz w:val="24"/>
                <w:szCs w:val="24"/>
                <w:lang w:val="en-US" w:eastAsia="zh-CN"/>
              </w:rPr>
              <w:t xml:space="preserve">休克早期，机体循环血量急剧下降时，机体通过一系列调节机制来进行代偿。心搏加快，心排出量增加，选择性外周和部分内脏小血管收缩，循环血量重新分布，保证心、脑等重要脏器的血液供应，并维持循环相对稳定。此期与休克代偿相对应。 </w:t>
            </w:r>
          </w:p>
          <w:p w14:paraId="3D3A9832">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2. 微循环扩张期</w:t>
            </w:r>
            <w:r>
              <w:rPr>
                <w:rFonts w:hint="eastAsia" w:ascii="宋体" w:hAnsi="宋体" w:eastAsia="宋体" w:cs="宋体"/>
                <w:bCs/>
                <w:sz w:val="24"/>
                <w:szCs w:val="24"/>
                <w:lang w:val="en-US" w:eastAsia="zh-CN"/>
              </w:rPr>
              <w:t xml:space="preserve"> 有效循环血量进一步减少，微循环灌注不足继续加重，细胞显著缺氧；血管床容量增加，回心血量减少，心排出量下降，血压降低，心、脑等重要器官灌注不足，休克进入失代偿期。 </w:t>
            </w:r>
          </w:p>
          <w:p w14:paraId="384AA6BE">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 xml:space="preserve">3. 微循环衰竭期 </w:t>
            </w:r>
            <w:r>
              <w:rPr>
                <w:rFonts w:hint="eastAsia" w:ascii="宋体" w:hAnsi="宋体" w:eastAsia="宋体" w:cs="宋体"/>
                <w:bCs/>
                <w:sz w:val="24"/>
                <w:szCs w:val="24"/>
                <w:lang w:val="en-US" w:eastAsia="zh-CN"/>
              </w:rPr>
              <w:t xml:space="preserve">血液黏稠度增加和酸性血液的高凝特性，极易在毛细血管内形成微细胞栓，形成弥散性血管内凝血（DIC）。导致组织、器官损害，甚至出现多器官功能障碍综合征，休克常演变为不可逆。 </w:t>
            </w:r>
          </w:p>
          <w:p w14:paraId="5252F022">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
                <w:bCs w:val="0"/>
                <w:sz w:val="24"/>
                <w:szCs w:val="24"/>
                <w:lang w:val="en-US" w:eastAsia="zh-CN"/>
              </w:rPr>
            </w:pPr>
            <w:r>
              <w:rPr>
                <w:rFonts w:hint="eastAsia" w:ascii="宋体" w:hAnsi="宋体" w:eastAsia="宋体" w:cs="宋体"/>
                <w:b/>
                <w:bCs w:val="0"/>
                <w:sz w:val="24"/>
                <w:szCs w:val="24"/>
                <w:lang w:val="en-US" w:eastAsia="zh-CN"/>
              </w:rPr>
              <w:t xml:space="preserve">（二）代谢改变 </w:t>
            </w:r>
          </w:p>
          <w:p w14:paraId="685073D7">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1. 代谢性酸中毒</w:t>
            </w:r>
            <w:r>
              <w:rPr>
                <w:rFonts w:hint="eastAsia" w:ascii="宋体" w:hAnsi="宋体" w:eastAsia="宋体" w:cs="宋体"/>
                <w:bCs/>
                <w:sz w:val="24"/>
                <w:szCs w:val="24"/>
                <w:lang w:val="en-US" w:eastAsia="zh-CN"/>
              </w:rPr>
              <w:t xml:space="preserve"> 组织低灌流使葡萄糖无氧代谢增加，丙酮酸和乳酸产生增多，引起代谢性酸中毒。严重的酸中毒直接影响心血管功能。 </w:t>
            </w:r>
          </w:p>
          <w:p w14:paraId="4EA11A70">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 xml:space="preserve">2. 能量代谢障碍 </w:t>
            </w:r>
            <w:r>
              <w:rPr>
                <w:rFonts w:hint="eastAsia" w:ascii="宋体" w:hAnsi="宋体" w:eastAsia="宋体" w:cs="宋体"/>
                <w:bCs/>
                <w:sz w:val="24"/>
                <w:szCs w:val="24"/>
                <w:lang w:val="en-US" w:eastAsia="zh-CN"/>
              </w:rPr>
              <w:t xml:space="preserve">休克时机体处于应激状态，儿茶酚胺和肾上腺皮质激素分泌增加，蛋白质合成受抑制，分解代谢增加，以致血尿素氮，肌酐和尿酸增加；同时促进胰高糖素的生成，抑制胰岛素的作用，使血糖升高。 </w:t>
            </w:r>
          </w:p>
          <w:p w14:paraId="51F92B75">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 xml:space="preserve">（三）缺血—再灌注损伤和炎症介质释放 </w:t>
            </w:r>
          </w:p>
          <w:p w14:paraId="309D3FC3">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休克时细胞缺氧，能量代谢障碍是缺血—再灌注损伤的始发环节，氧自由基生成增多和细胞内钙超载是缺血—再灌注损伤的主要机制，并参与多器官功能障碍的发生，两者又互为因果。同时，脂质过氧化和细胞内钙超载又可诱导血栓素，白三烯等产生，触发过量炎症介质释放，如白介素、肿瘤坏死因子、集落刺激因子、干扰素和一氧化氮等，形成“瀑布样”连锁放大反应。 </w:t>
            </w:r>
          </w:p>
          <w:p w14:paraId="065BDB50">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
                <w:bCs w:val="0"/>
                <w:sz w:val="24"/>
                <w:szCs w:val="24"/>
                <w:lang w:val="en-US" w:eastAsia="zh-CN"/>
              </w:rPr>
            </w:pPr>
            <w:r>
              <w:rPr>
                <w:rFonts w:hint="eastAsia" w:ascii="宋体" w:hAnsi="宋体" w:eastAsia="宋体" w:cs="宋体"/>
                <w:b/>
                <w:bCs w:val="0"/>
                <w:sz w:val="24"/>
                <w:szCs w:val="24"/>
                <w:lang w:val="en-US" w:eastAsia="zh-CN"/>
              </w:rPr>
              <w:t xml:space="preserve">（四）继发性内脏器官损害 </w:t>
            </w:r>
          </w:p>
          <w:p w14:paraId="5DA6A7C3">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 xml:space="preserve">1. 肺 </w:t>
            </w:r>
            <w:r>
              <w:rPr>
                <w:rFonts w:hint="eastAsia" w:ascii="宋体" w:hAnsi="宋体" w:eastAsia="宋体" w:cs="宋体"/>
                <w:bCs/>
                <w:sz w:val="24"/>
                <w:szCs w:val="24"/>
                <w:lang w:val="en-US" w:eastAsia="zh-CN"/>
              </w:rPr>
              <w:t xml:space="preserve">休克时肺毛细血管内皮和肺泡上皮细胞受损，血管通透性增加，肺泡表面活性物质减少，间质水肿，肺泡萎缩，不张和水肿，多在休克期内或稳定后 48 ～ 72 小时内出现急性呼吸窘迫综合征。 </w:t>
            </w:r>
          </w:p>
          <w:p w14:paraId="06F7D14D">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2. 肾</w:t>
            </w:r>
            <w:r>
              <w:rPr>
                <w:rFonts w:hint="eastAsia" w:ascii="宋体" w:hAnsi="宋体" w:eastAsia="宋体" w:cs="宋体"/>
                <w:bCs/>
                <w:sz w:val="24"/>
                <w:szCs w:val="24"/>
                <w:lang w:val="en-US" w:eastAsia="zh-CN"/>
              </w:rPr>
              <w:t xml:space="preserve"> 肾血流量减少，肾小球滤过减少，引起急性肾衰竭（ARF）。 </w:t>
            </w:r>
          </w:p>
          <w:p w14:paraId="3B7D3609">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 xml:space="preserve">3. 心 </w:t>
            </w:r>
            <w:r>
              <w:rPr>
                <w:rFonts w:hint="eastAsia" w:ascii="宋体" w:hAnsi="宋体" w:eastAsia="宋体" w:cs="宋体"/>
                <w:bCs/>
                <w:sz w:val="24"/>
                <w:szCs w:val="24"/>
                <w:lang w:val="en-US" w:eastAsia="zh-CN"/>
              </w:rPr>
              <w:t xml:space="preserve">休克抑制期舒张期血压下降，使冠脉血液灌流明显减少，心肌抑制因子和心肌微循环内血栓形成等加重心肌损害，甚至形成局灶性坏死。 </w:t>
            </w:r>
          </w:p>
          <w:p w14:paraId="73F4D12A">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4. 脑</w:t>
            </w:r>
            <w:r>
              <w:rPr>
                <w:rFonts w:hint="eastAsia" w:ascii="宋体" w:hAnsi="宋体" w:eastAsia="宋体" w:cs="宋体"/>
                <w:bCs/>
                <w:sz w:val="24"/>
                <w:szCs w:val="24"/>
                <w:lang w:val="en-US" w:eastAsia="zh-CN"/>
              </w:rPr>
              <w:t xml:space="preserve"> 缺氧和酸中毒引起脑微循环障碍，导致脑间质水肿和胶质细胞肿胀，常首先发生大脑皮质功能异常，表现为意识状态的改变。 </w:t>
            </w:r>
          </w:p>
          <w:p w14:paraId="43A99160">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 xml:space="preserve">5. 肝 </w:t>
            </w:r>
            <w:r>
              <w:rPr>
                <w:rFonts w:hint="eastAsia" w:ascii="宋体" w:hAnsi="宋体" w:eastAsia="宋体" w:cs="宋体"/>
                <w:bCs/>
                <w:sz w:val="24"/>
                <w:szCs w:val="24"/>
                <w:lang w:val="en-US" w:eastAsia="zh-CN"/>
              </w:rPr>
              <w:t xml:space="preserve">缺血、缺氧、血液淤滞，使肝细胞受损明显，肝血窦和中央静脉内为血栓形成，引起肝细胞坏死，肝脏代谢和解毒功降低，导致肝功能障碍。 </w:t>
            </w:r>
          </w:p>
          <w:p w14:paraId="6820C2F5">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6. 胃肠道</w:t>
            </w:r>
            <w:r>
              <w:rPr>
                <w:rFonts w:hint="eastAsia" w:ascii="宋体" w:hAnsi="宋体" w:eastAsia="宋体" w:cs="宋体"/>
                <w:bCs/>
                <w:sz w:val="24"/>
                <w:szCs w:val="24"/>
                <w:lang w:val="en-US" w:eastAsia="zh-CN"/>
              </w:rPr>
              <w:t xml:space="preserve"> 休克时胃肠黏膜糜烂、出血，发生应激性溃疡。黏膜受损、肠屏障功能破坏，肠道内细菌或其毒素移位，形成肠源性感染。 </w:t>
            </w:r>
          </w:p>
          <w:p w14:paraId="68BD3EA2">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二、临床表现</w:t>
            </w:r>
            <w:r>
              <w:rPr>
                <w:rFonts w:hint="eastAsia" w:ascii="宋体" w:hAnsi="宋体" w:eastAsia="宋体" w:cs="宋体"/>
                <w:bCs/>
                <w:sz w:val="24"/>
                <w:szCs w:val="24"/>
                <w:lang w:val="en-US" w:eastAsia="zh-CN"/>
              </w:rPr>
              <w:t xml:space="preserve"> </w:t>
            </w:r>
          </w:p>
          <w:p w14:paraId="3F3B9399">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休克根据病程演变分为休克代偿期和休克抑制期。 </w:t>
            </w:r>
          </w:p>
          <w:p w14:paraId="11579A67">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休克早期，机体对有效循环血量减少具备相应的代偿能力，如发现及时，处理有效，休克很快得到纠正。休克抑制期，若皮肤、黏膜出现瘀斑，有消化道出血，或存在进行呼吸性困难，经一般吸氧不能改善等，常提示发生器官功能障碍。 </w:t>
            </w:r>
          </w:p>
          <w:p w14:paraId="4401276A">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
                <w:bCs w:val="0"/>
                <w:sz w:val="24"/>
                <w:szCs w:val="24"/>
                <w:lang w:val="en-US" w:eastAsia="zh-CN"/>
              </w:rPr>
            </w:pPr>
            <w:r>
              <w:rPr>
                <w:rFonts w:hint="eastAsia" w:ascii="宋体" w:hAnsi="宋体" w:eastAsia="宋体" w:cs="宋体"/>
                <w:b/>
                <w:bCs w:val="0"/>
                <w:sz w:val="24"/>
                <w:szCs w:val="24"/>
                <w:lang w:val="en-US" w:eastAsia="zh-CN"/>
              </w:rPr>
              <w:t xml:space="preserve">三、诊断与检测 </w:t>
            </w:r>
          </w:p>
          <w:p w14:paraId="1B111F92">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休克出现典型表现，诊断并不困难，重点在于早期诊断。对短期内血容量大量丢失，严重创伤或感染的患者进行监测，既能及早诊断，又能指导治疗。 </w:t>
            </w:r>
          </w:p>
          <w:p w14:paraId="0F813E10">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（一）一般监测</w:t>
            </w:r>
            <w:r>
              <w:rPr>
                <w:rFonts w:hint="eastAsia" w:ascii="宋体" w:hAnsi="宋体" w:eastAsia="宋体" w:cs="宋体"/>
                <w:bCs/>
                <w:sz w:val="24"/>
                <w:szCs w:val="24"/>
                <w:lang w:val="en-US" w:eastAsia="zh-CN"/>
              </w:rPr>
              <w:t xml:space="preserve"> </w:t>
            </w:r>
          </w:p>
          <w:p w14:paraId="6F8EB7C5">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1. 精神和神志</w:t>
            </w:r>
            <w:r>
              <w:rPr>
                <w:rFonts w:hint="eastAsia" w:ascii="宋体" w:hAnsi="宋体" w:eastAsia="宋体" w:cs="宋体"/>
                <w:bCs/>
                <w:sz w:val="24"/>
                <w:szCs w:val="24"/>
                <w:lang w:val="en-US" w:eastAsia="zh-CN"/>
              </w:rPr>
              <w:t xml:space="preserve"> 脑组织灌流不足表现为精神紧张、烦躁不安、淡漠迟钝、谵妄或昏迷。 </w:t>
            </w:r>
          </w:p>
          <w:p w14:paraId="11B71051">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2. 皮温和肤色</w:t>
            </w:r>
            <w:r>
              <w:rPr>
                <w:rFonts w:hint="eastAsia" w:ascii="宋体" w:hAnsi="宋体" w:eastAsia="宋体" w:cs="宋体"/>
                <w:bCs/>
                <w:sz w:val="24"/>
                <w:szCs w:val="24"/>
                <w:lang w:val="en-US" w:eastAsia="zh-CN"/>
              </w:rPr>
              <w:t xml:space="preserve"> 四肢皮肤湿冷、苍白、发绀，轻压指甲或口唇颜色变苍白，松压后恢复红润缓慢，说明体表灌流不足。皮肤出现瘀斑提示可能有 DIC。 </w:t>
            </w:r>
          </w:p>
          <w:p w14:paraId="51A05853">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3. 血压</w:t>
            </w:r>
            <w:r>
              <w:rPr>
                <w:rFonts w:hint="eastAsia" w:ascii="宋体" w:hAnsi="宋体" w:eastAsia="宋体" w:cs="宋体"/>
                <w:bCs/>
                <w:sz w:val="24"/>
                <w:szCs w:val="24"/>
                <w:lang w:val="en-US" w:eastAsia="zh-CN"/>
              </w:rPr>
              <w:t xml:space="preserve"> 通常认为收缩压低于 90mmHg，脉压小于 20mmHg，或原有高血压患者收缩压降低 30mmHg 以上，表明休克存在。 </w:t>
            </w:r>
          </w:p>
          <w:p w14:paraId="29EF4596">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4. 脉搏</w:t>
            </w:r>
            <w:r>
              <w:rPr>
                <w:rFonts w:hint="eastAsia" w:ascii="宋体" w:hAnsi="宋体" w:eastAsia="宋体" w:cs="宋体"/>
                <w:bCs/>
                <w:sz w:val="24"/>
                <w:szCs w:val="24"/>
                <w:lang w:val="en-US" w:eastAsia="zh-CN"/>
              </w:rPr>
              <w:t xml:space="preserve"> 休克时脉搏变化常出现在血压变化之前，作为监测指标更为敏感。根据脉率 / 收缩压（mmg）计算休克指数，有助于判断休克有无和确定程度。指数为 0.5 多表示无休克，超过 1.0 ～ 1.5 提示有休克，超过 2.0 是严重休克的证据。</w:t>
            </w:r>
          </w:p>
          <w:p w14:paraId="51609B3B">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5. 尿量</w:t>
            </w:r>
            <w:r>
              <w:rPr>
                <w:rFonts w:hint="eastAsia" w:ascii="宋体" w:hAnsi="宋体" w:eastAsia="宋体" w:cs="宋体"/>
                <w:bCs/>
                <w:sz w:val="24"/>
                <w:szCs w:val="24"/>
                <w:lang w:val="en-US" w:eastAsia="zh-CN"/>
              </w:rPr>
              <w:t xml:space="preserve"> 留置导尿管，观察每小时尿量。尿量＜ 25mL/h，比重高，提示血容量不足；尿量稳定在 30mL/h，表示休克得到纠正。 </w:t>
            </w:r>
          </w:p>
          <w:p w14:paraId="359DCDD7">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（二）特殊监测</w:t>
            </w:r>
            <w:r>
              <w:rPr>
                <w:rFonts w:hint="eastAsia" w:ascii="宋体" w:hAnsi="宋体" w:eastAsia="宋体" w:cs="宋体"/>
                <w:bCs/>
                <w:sz w:val="24"/>
                <w:szCs w:val="24"/>
                <w:lang w:val="en-US" w:eastAsia="zh-CN"/>
              </w:rPr>
              <w:t xml:space="preserve"> </w:t>
            </w:r>
          </w:p>
          <w:p w14:paraId="0BC4FAA0">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适于严重休克，或持续时间长的低血容量性休克和感染性休克。 </w:t>
            </w:r>
          </w:p>
          <w:p w14:paraId="617C6BE3">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1. 血流动力学检测</w:t>
            </w:r>
            <w:r>
              <w:rPr>
                <w:rFonts w:hint="eastAsia" w:ascii="宋体" w:hAnsi="宋体" w:eastAsia="宋体" w:cs="宋体"/>
                <w:bCs/>
                <w:sz w:val="24"/>
                <w:szCs w:val="24"/>
                <w:lang w:val="en-US" w:eastAsia="zh-CN"/>
              </w:rPr>
              <w:t xml:space="preserve"> 包括中心静脉压（CVP）、肺毛细血管契压（PCWP）、心排出量（CO）和心脏指数（CI）、氧供应（DO2）与氧消耗（VO2），以中心静脉压最为常用。</w:t>
            </w:r>
          </w:p>
          <w:p w14:paraId="7D6D3733">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2. 实验室指标检测</w:t>
            </w:r>
            <w:r>
              <w:rPr>
                <w:rFonts w:hint="eastAsia" w:ascii="宋体" w:hAnsi="宋体" w:eastAsia="宋体" w:cs="宋体"/>
                <w:bCs/>
                <w:sz w:val="24"/>
                <w:szCs w:val="24"/>
                <w:lang w:val="en-US" w:eastAsia="zh-CN"/>
              </w:rPr>
              <w:t xml:space="preserve"> 常用动脉血液气体分析，动脉血乳酸盐测定，胃肠黏膜内 pH监测以及弥散性血管内凝血（DIC）的检测，协助判断休克和评价疗效。 </w:t>
            </w:r>
          </w:p>
          <w:p w14:paraId="726F856B">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四、治疗</w:t>
            </w:r>
            <w:r>
              <w:rPr>
                <w:rFonts w:hint="eastAsia" w:ascii="宋体" w:hAnsi="宋体" w:eastAsia="宋体" w:cs="宋体"/>
                <w:bCs/>
                <w:sz w:val="24"/>
                <w:szCs w:val="24"/>
                <w:lang w:val="en-US" w:eastAsia="zh-CN"/>
              </w:rPr>
              <w:t xml:space="preserve"> </w:t>
            </w:r>
          </w:p>
          <w:p w14:paraId="29A796FE">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治疗原则是尽早去除休克病因，针对各种生理紊乱采取针对性治疗，重点在于迅速恢复组织血液灌流和为细胞提供充足的氧供应。 </w:t>
            </w:r>
          </w:p>
          <w:p w14:paraId="2BB986D3">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1. 一般紧急处理</w:t>
            </w:r>
            <w:r>
              <w:rPr>
                <w:rFonts w:hint="eastAsia" w:ascii="宋体" w:hAnsi="宋体" w:eastAsia="宋体" w:cs="宋体"/>
                <w:bCs/>
                <w:sz w:val="24"/>
                <w:szCs w:val="24"/>
                <w:lang w:val="en-US" w:eastAsia="zh-CN"/>
              </w:rPr>
              <w:t xml:space="preserve"> 原发伤病紧急应迅速处理，如通畅气道，制止外出血等。采取头和躯干抬高 20°～ 30°，下肢抬高 15°～ 20°体位，以增加回心血量和改善呼吸。早期鼻管或面罩给氧，同时注意保暖。 </w:t>
            </w:r>
          </w:p>
          <w:p w14:paraId="0DD2CE04">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2. 补充血容量</w:t>
            </w:r>
            <w:r>
              <w:rPr>
                <w:rFonts w:hint="eastAsia" w:ascii="宋体" w:hAnsi="宋体" w:eastAsia="宋体" w:cs="宋体"/>
                <w:bCs/>
                <w:sz w:val="24"/>
                <w:szCs w:val="24"/>
                <w:lang w:val="en-US" w:eastAsia="zh-CN"/>
              </w:rPr>
              <w:t xml:space="preserve"> 扩容是抗休克的基本措施。尽早建立 1 ～ 2 条静脉通路，首先输入晶体液，用平衡盐溶液或等渗盐水，注意补充人工胶体，必要时成分输血。 </w:t>
            </w:r>
          </w:p>
          <w:p w14:paraId="421740D1">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3. 积极处理原发病</w:t>
            </w:r>
            <w:r>
              <w:rPr>
                <w:rFonts w:hint="eastAsia" w:ascii="宋体" w:hAnsi="宋体" w:eastAsia="宋体" w:cs="宋体"/>
                <w:bCs/>
                <w:sz w:val="24"/>
                <w:szCs w:val="24"/>
                <w:lang w:val="en-US" w:eastAsia="zh-CN"/>
              </w:rPr>
              <w:t xml:space="preserve"> 重要性与补充血容量等同。有效循环血量恢复，应及时手术去除病因。原发病不能消除，休克又不能纠正，则应在抗休克的同时及早手术，以免延误时机。 </w:t>
            </w:r>
          </w:p>
          <w:p w14:paraId="63867FDF">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4. 纠正酸碱平衡失调</w:t>
            </w:r>
            <w:r>
              <w:rPr>
                <w:rFonts w:hint="eastAsia" w:ascii="宋体" w:hAnsi="宋体" w:eastAsia="宋体" w:cs="宋体"/>
                <w:bCs/>
                <w:sz w:val="24"/>
                <w:szCs w:val="24"/>
                <w:lang w:val="en-US" w:eastAsia="zh-CN"/>
              </w:rPr>
              <w:t xml:space="preserve"> 纠正酸碱失衡原则是“宁酸勿碱”，呼吸功能完善者，经改善组织灌注，酸中毒依然严重，可适时酌情应用碱性药。 </w:t>
            </w:r>
          </w:p>
          <w:p w14:paraId="3BC44412">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5. 应用心血管活性药物</w:t>
            </w:r>
            <w:r>
              <w:rPr>
                <w:rFonts w:hint="eastAsia" w:ascii="宋体" w:hAnsi="宋体" w:eastAsia="宋体" w:cs="宋体"/>
                <w:bCs/>
                <w:sz w:val="24"/>
                <w:szCs w:val="24"/>
                <w:lang w:val="en-US" w:eastAsia="zh-CN"/>
              </w:rPr>
              <w:t xml:space="preserve"> 目的在于提升血压，保证对心、脑氧供应有效，改善腹内脏器血液灌流，主要包括血管收缩药，血管扩张药和强心药，临床较常用的有多巴胺，人工合成的山莨菪碱和强心苷毛花苷丙等。 </w:t>
            </w:r>
          </w:p>
          <w:p w14:paraId="7F7B2E45">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6. 疏通微循环</w:t>
            </w:r>
            <w:r>
              <w:rPr>
                <w:rFonts w:hint="eastAsia" w:ascii="宋体" w:hAnsi="宋体" w:eastAsia="宋体" w:cs="宋体"/>
                <w:bCs/>
                <w:sz w:val="24"/>
                <w:szCs w:val="24"/>
                <w:lang w:val="en-US" w:eastAsia="zh-CN"/>
              </w:rPr>
              <w:t xml:space="preserve"> 抗血小板黏附和聚集药物阿司匹林，双嘧达莫和小分子右旋糖酐等临床常用。如 DIC 诊断明确，应及时使用肝素及氨甲丙酸，氨基乙酸等抗纤溶药。</w:t>
            </w:r>
          </w:p>
          <w:p w14:paraId="4F0E7AC6">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7. 皮质类固醇激素应用</w:t>
            </w:r>
            <w:r>
              <w:rPr>
                <w:rFonts w:hint="eastAsia" w:ascii="宋体" w:hAnsi="宋体" w:eastAsia="宋体" w:cs="宋体"/>
                <w:bCs/>
                <w:sz w:val="24"/>
                <w:szCs w:val="24"/>
                <w:lang w:val="en-US" w:eastAsia="zh-CN"/>
              </w:rPr>
              <w:t xml:space="preserve"> 具有增强心肌收缩力，扩张血管，防止溶酶体破裂，增进线粒体功能，防止白细胞凝集和促进糖原异生等作用，治疗感染性休克和较严重休克，一般主张短时、大剂量应用。 </w:t>
            </w:r>
          </w:p>
          <w:p w14:paraId="410775B4">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8. 保护和恢复细胞功能</w:t>
            </w:r>
            <w:r>
              <w:rPr>
                <w:rFonts w:hint="eastAsia" w:ascii="宋体" w:hAnsi="宋体" w:eastAsia="宋体" w:cs="宋体"/>
                <w:bCs/>
                <w:sz w:val="24"/>
                <w:szCs w:val="24"/>
                <w:lang w:val="en-US" w:eastAsia="zh-CN"/>
              </w:rPr>
              <w:t xml:space="preserve"> 加强营养和调节免疫，宜与生长激素和谷氨酰胺联用。减轻缺血—再灌注损伤和过多炎症介质对细胞的损伤，可酌情选用超氧化物歧化酶（SOD），钙通道阻滞药，阿片受体拮抗药，前列环素及应用三磷酸腺—氯化镁疗法等。</w:t>
            </w:r>
          </w:p>
          <w:p w14:paraId="09F0B2DC">
            <w:pPr>
              <w:keepNext w:val="0"/>
              <w:keepLines w:val="0"/>
              <w:widowControl w:val="0"/>
              <w:suppressLineNumbers w:val="0"/>
              <w:autoSpaceDE w:val="0"/>
              <w:autoSpaceDN/>
              <w:spacing w:before="0" w:beforeAutospacing="0" w:after="0" w:afterAutospacing="0" w:line="360" w:lineRule="auto"/>
              <w:ind w:left="0" w:right="0"/>
              <w:jc w:val="both"/>
              <w:rPr>
                <w:rFonts w:hint="eastAsia" w:ascii="宋体" w:hAnsi="宋体" w:eastAsia="宋体" w:cs="宋体"/>
                <w:b/>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96" w:type="dxa"/>
            <w:tcBorders>
              <w:tl2br w:val="nil"/>
              <w:tr2bl w:val="nil"/>
            </w:tcBorders>
            <w:vAlign w:val="center"/>
          </w:tcPr>
          <w:p w14:paraId="4DB4A1ED">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lang w:val="en-US" w:eastAsia="zh-CN"/>
              </w:rPr>
              <w:t>展示休克发生的机制及分期</w:t>
            </w:r>
            <w:r>
              <w:rPr>
                <w:rFonts w:hint="eastAsia" w:ascii="Times New Roman" w:hAnsi="Times New Roman"/>
                <w:b/>
                <w:sz w:val="24"/>
                <w:szCs w:val="24"/>
                <w:lang w:eastAsia="zh-CN"/>
              </w:rPr>
              <w:t>，</w:t>
            </w:r>
            <w:r>
              <w:rPr>
                <w:rFonts w:hint="eastAsia" w:ascii="Times New Roman" w:hAnsi="Times New Roman"/>
                <w:b/>
                <w:sz w:val="24"/>
                <w:szCs w:val="24"/>
              </w:rPr>
              <w:t>激发学生的学习</w:t>
            </w:r>
            <w:r>
              <w:rPr>
                <w:rFonts w:hint="eastAsia" w:ascii="Times New Roman" w:hAnsi="Times New Roman"/>
                <w:b/>
                <w:sz w:val="24"/>
                <w:szCs w:val="24"/>
                <w:lang w:val="en-US" w:eastAsia="zh-CN"/>
              </w:rPr>
              <w:t>兴趣，鼓励学生去探索</w:t>
            </w:r>
            <w:r>
              <w:rPr>
                <w:rFonts w:hint="eastAsia" w:ascii="Times New Roman" w:hAnsi="Times New Roman"/>
                <w:b/>
                <w:sz w:val="24"/>
                <w:szCs w:val="24"/>
              </w:rPr>
              <w:t>。</w:t>
            </w:r>
          </w:p>
        </w:tc>
      </w:tr>
      <w:tr w14:paraId="37C62BC9">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1F7A7B1">
            <w:pPr>
              <w:keepNext w:val="0"/>
              <w:keepLines w:val="0"/>
              <w:suppressLineNumbers w:val="0"/>
              <w:spacing w:before="0" w:beforeAutospacing="0" w:after="0" w:afterAutospacing="0" w:line="360"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3</w:t>
            </w:r>
            <w:r>
              <w:rPr>
                <w:rFonts w:hint="eastAsia" w:ascii="Times New Roman" w:hAnsi="Times New Roman"/>
                <w:b w:val="0"/>
                <w:bCs w:val="0"/>
                <w:sz w:val="24"/>
                <w:szCs w:val="24"/>
              </w:rPr>
              <w:t>min）</w:t>
            </w:r>
          </w:p>
        </w:tc>
        <w:tc>
          <w:tcPr>
            <w:tcW w:w="7208" w:type="dxa"/>
            <w:tcBorders>
              <w:tl2br w:val="nil"/>
              <w:tr2bl w:val="nil"/>
            </w:tcBorders>
            <w:vAlign w:val="center"/>
          </w:tcPr>
          <w:p w14:paraId="7654F124">
            <w:pPr>
              <w:keepNext w:val="0"/>
              <w:keepLines w:val="0"/>
              <w:suppressLineNumbers w:val="0"/>
              <w:spacing w:before="0" w:beforeAutospacing="0" w:after="0" w:afterAutospacing="0" w:line="360" w:lineRule="auto"/>
              <w:ind w:left="0" w:right="0"/>
              <w:rPr>
                <w:rFonts w:hint="eastAsia" w:ascii="宋体" w:hAnsi="宋体" w:eastAsia="宋体" w:cs="宋体"/>
                <w:b w:val="0"/>
                <w:bCs/>
                <w:color w:val="C00000"/>
                <w:kern w:val="2"/>
                <w:sz w:val="24"/>
                <w:szCs w:val="24"/>
                <w:lang w:val="en-US" w:eastAsia="zh-CN" w:bidi="ar"/>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14:paraId="6977274D">
            <w:pPr>
              <w:keepNext w:val="0"/>
              <w:keepLines w:val="0"/>
              <w:suppressLineNumbers w:val="0"/>
              <w:spacing w:before="0" w:beforeAutospacing="0" w:after="0" w:afterAutospacing="0" w:line="360" w:lineRule="auto"/>
              <w:ind w:left="0" w:right="0" w:firstLine="480" w:firstLineChars="200"/>
              <w:rPr>
                <w:rFonts w:hint="default" w:hAnsi="宋体" w:eastAsia="宋体"/>
                <w:bCs/>
                <w:sz w:val="24"/>
                <w:szCs w:val="24"/>
                <w:lang w:val="en-US" w:eastAsia="zh-CN"/>
              </w:rPr>
            </w:pPr>
            <w:r>
              <w:rPr>
                <w:rFonts w:hint="eastAsia" w:hAnsi="宋体"/>
                <w:bCs/>
                <w:sz w:val="24"/>
                <w:szCs w:val="24"/>
                <w:lang w:val="en-US" w:eastAsia="zh-CN"/>
              </w:rPr>
              <w:t>简述休克的治疗要点</w:t>
            </w:r>
          </w:p>
        </w:tc>
        <w:tc>
          <w:tcPr>
            <w:tcW w:w="1696" w:type="dxa"/>
            <w:tcBorders>
              <w:tl2br w:val="nil"/>
              <w:tr2bl w:val="nil"/>
            </w:tcBorders>
            <w:vAlign w:val="center"/>
          </w:tcPr>
          <w:p w14:paraId="3942C553">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r>
              <w:rPr>
                <w:rFonts w:hint="eastAsia" w:ascii="Times New Roman" w:hAnsi="Times New Roman"/>
                <w:b w:val="0"/>
                <w:bCs/>
                <w:sz w:val="24"/>
                <w:szCs w:val="24"/>
              </w:rPr>
              <w:t>通过课后练习，使学生巩固所学新知识</w:t>
            </w:r>
          </w:p>
        </w:tc>
      </w:tr>
      <w:tr w14:paraId="3A1C303E">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0B0C13FC">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726C6B6E">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7208" w:type="dxa"/>
            <w:tcBorders>
              <w:tl2br w:val="nil"/>
              <w:tr2bl w:val="nil"/>
            </w:tcBorders>
            <w:vAlign w:val="center"/>
          </w:tcPr>
          <w:p w14:paraId="245879D3">
            <w:pPr>
              <w:keepNext w:val="0"/>
              <w:keepLines w:val="0"/>
              <w:widowControl/>
              <w:suppressLineNumbers w:val="0"/>
              <w:spacing w:before="0" w:beforeAutospacing="0" w:after="0" w:afterAutospacing="0" w:line="360" w:lineRule="auto"/>
              <w:ind w:left="0" w:right="0"/>
              <w:jc w:val="both"/>
              <w:rPr>
                <w:rFonts w:hint="eastAsia" w:ascii="宋体" w:hAnsi="宋体" w:eastAsia="宋体" w:cs="宋体"/>
                <w:b/>
                <w:bCs w:val="0"/>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展示肿瘤</w:t>
            </w:r>
          </w:p>
          <w:p w14:paraId="08CCCC0F">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肿瘤（tumor）是机体中正常细胞在不同的始动与促进因素长期作用下，所产生的增生与异常分化所形成的新生物。新生物一旦形成后，不因病因消除而停止增长。它不受生理调节，而且破坏正常组织与器官。它生长旺盛，常呈持续性生长。特别是恶性肿瘤可转移到其他部位，治疗困难，甚至威胁生命。 </w:t>
            </w:r>
          </w:p>
          <w:p w14:paraId="28FC0283">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一、病因及发病机制</w:t>
            </w:r>
            <w:r>
              <w:rPr>
                <w:rFonts w:hint="eastAsia" w:ascii="宋体" w:hAnsi="宋体" w:eastAsia="宋体" w:cs="宋体"/>
                <w:bCs/>
                <w:sz w:val="24"/>
                <w:szCs w:val="24"/>
                <w:lang w:val="en-US" w:eastAsia="zh-CN"/>
              </w:rPr>
              <w:t xml:space="preserve"> </w:t>
            </w:r>
          </w:p>
          <w:p w14:paraId="4F881250">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恶性肿瘤的病因至今尚未明了。大多数学者认为是人与环境内、外因素交互作用的结果，80% 以上的恶性肿瘤与环境因素有关。外界的致癌因素和促癌因素通过内在的遗传易感性、内分泌与免疫缺陷导致体细胞中多基因改变并积累的结果使肿瘤形成。</w:t>
            </w:r>
          </w:p>
          <w:p w14:paraId="68F50BCA">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
                <w:bCs w:val="0"/>
                <w:sz w:val="24"/>
                <w:szCs w:val="24"/>
                <w:lang w:val="en-US" w:eastAsia="zh-CN"/>
              </w:rPr>
            </w:pPr>
            <w:r>
              <w:rPr>
                <w:rFonts w:hint="eastAsia" w:ascii="宋体" w:hAnsi="宋体" w:eastAsia="宋体" w:cs="宋体"/>
                <w:b/>
                <w:bCs w:val="0"/>
                <w:sz w:val="24"/>
                <w:szCs w:val="24"/>
                <w:lang w:val="en-US" w:eastAsia="zh-CN"/>
              </w:rPr>
              <w:t xml:space="preserve">（一）环境因素 </w:t>
            </w:r>
          </w:p>
          <w:p w14:paraId="778CDF9B">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1. 化学因素</w:t>
            </w:r>
            <w:r>
              <w:rPr>
                <w:rFonts w:hint="eastAsia" w:ascii="宋体" w:hAnsi="宋体" w:eastAsia="宋体" w:cs="宋体"/>
                <w:bCs/>
                <w:sz w:val="24"/>
                <w:szCs w:val="24"/>
                <w:lang w:val="en-US" w:eastAsia="zh-CN"/>
              </w:rPr>
              <w:t xml:space="preserve"> 烷化剂、多环芳香烃类化合物、亚硝胺类、苯、真菌毒素和植物毒素、重金属等。 </w:t>
            </w:r>
          </w:p>
          <w:p w14:paraId="36EFA3C0">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2. 物理因素</w:t>
            </w:r>
            <w:r>
              <w:rPr>
                <w:rFonts w:hint="eastAsia" w:ascii="宋体" w:hAnsi="宋体" w:eastAsia="宋体" w:cs="宋体"/>
                <w:bCs/>
                <w:sz w:val="24"/>
                <w:szCs w:val="24"/>
                <w:lang w:val="en-US" w:eastAsia="zh-CN"/>
              </w:rPr>
              <w:t xml:space="preserve"> 电离辐射、紫外线、石棉纤维、滑石粉等。 </w:t>
            </w:r>
          </w:p>
          <w:p w14:paraId="0896BEF6">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3. 生物因素</w:t>
            </w:r>
            <w:r>
              <w:rPr>
                <w:rFonts w:hint="eastAsia" w:ascii="宋体" w:hAnsi="宋体" w:eastAsia="宋体" w:cs="宋体"/>
                <w:bCs/>
                <w:sz w:val="24"/>
                <w:szCs w:val="24"/>
                <w:lang w:val="en-US" w:eastAsia="zh-CN"/>
              </w:rPr>
              <w:t xml:space="preserve"> 据统计，与病原微生物感染相关的癌占 16%，其中发展中国家达22%，发达国家 9%。主要为病毒性感染，如 EB 病毒与淋巴瘤、鼻咽癌等有关；乙型肝炎病毒和丙型肝炎病毒与肝癌有关；人乳头状瘤病毒则与宫颈癌有关；幽门螺杆菌与胃癌相关。寄生虫、真菌也是生物致癌因素，如血吸虫病者常有患大肠癌。 </w:t>
            </w:r>
          </w:p>
          <w:p w14:paraId="64702213">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
                <w:bCs w:val="0"/>
                <w:sz w:val="24"/>
                <w:szCs w:val="24"/>
                <w:lang w:val="en-US" w:eastAsia="zh-CN"/>
              </w:rPr>
            </w:pPr>
            <w:r>
              <w:rPr>
                <w:rFonts w:hint="eastAsia" w:ascii="宋体" w:hAnsi="宋体" w:eastAsia="宋体" w:cs="宋体"/>
                <w:b/>
                <w:bCs w:val="0"/>
                <w:sz w:val="24"/>
                <w:szCs w:val="24"/>
                <w:lang w:val="en-US" w:eastAsia="zh-CN"/>
              </w:rPr>
              <w:t xml:space="preserve">（二）机体因素 </w:t>
            </w:r>
          </w:p>
          <w:p w14:paraId="6C45665E">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1. 遗传因素</w:t>
            </w:r>
            <w:r>
              <w:rPr>
                <w:rFonts w:hint="eastAsia" w:ascii="宋体" w:hAnsi="宋体" w:eastAsia="宋体" w:cs="宋体"/>
                <w:bCs/>
                <w:sz w:val="24"/>
                <w:szCs w:val="24"/>
                <w:lang w:val="en-US" w:eastAsia="zh-CN"/>
              </w:rPr>
              <w:t xml:space="preserve"> 肿瘤的发生、发展与遗传因素有关已成为共识。癌症有遗传倾向性，即遗传易感性；相当数量的恶性肿瘤患者有家族史。在有遗传史的乳腺癌、卵巢癌、大肠癌等患者中已发现一些“遗传易感基因”。 </w:t>
            </w:r>
          </w:p>
          <w:p w14:paraId="732362B9">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2. 内分泌因素</w:t>
            </w:r>
            <w:r>
              <w:rPr>
                <w:rFonts w:hint="eastAsia" w:ascii="宋体" w:hAnsi="宋体" w:eastAsia="宋体" w:cs="宋体"/>
                <w:bCs/>
                <w:sz w:val="24"/>
                <w:szCs w:val="24"/>
                <w:lang w:val="en-US" w:eastAsia="zh-CN"/>
              </w:rPr>
              <w:t xml:space="preserve"> 学者们已经证实一些激素与肿瘤的发生、发展有关。 </w:t>
            </w:r>
          </w:p>
          <w:p w14:paraId="5F1BD92B">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3. 免疫因素</w:t>
            </w:r>
            <w:r>
              <w:rPr>
                <w:rFonts w:hint="eastAsia" w:ascii="宋体" w:hAnsi="宋体" w:eastAsia="宋体" w:cs="宋体"/>
                <w:bCs/>
                <w:sz w:val="24"/>
                <w:szCs w:val="24"/>
                <w:lang w:val="en-US" w:eastAsia="zh-CN"/>
              </w:rPr>
              <w:t xml:space="preserve"> 先天性或后天性免疫缺陷者易患恶性肿瘤。另外，不可忽视心理、社会因素通过影响人体内分泌、免疫功能而诱发肿瘤的可能。 </w:t>
            </w:r>
          </w:p>
          <w:p w14:paraId="5787CEE7">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
                <w:bCs w:val="0"/>
                <w:sz w:val="24"/>
                <w:szCs w:val="24"/>
                <w:lang w:val="en-US" w:eastAsia="zh-CN"/>
              </w:rPr>
            </w:pPr>
            <w:r>
              <w:rPr>
                <w:rFonts w:hint="eastAsia" w:ascii="宋体" w:hAnsi="宋体" w:eastAsia="宋体" w:cs="宋体"/>
                <w:b/>
                <w:bCs w:val="0"/>
                <w:sz w:val="24"/>
                <w:szCs w:val="24"/>
                <w:lang w:val="en-US" w:eastAsia="zh-CN"/>
              </w:rPr>
              <w:t xml:space="preserve">（三）生活习惯 </w:t>
            </w:r>
          </w:p>
          <w:p w14:paraId="5CD36370">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 xml:space="preserve">1. 吸烟 </w:t>
            </w:r>
            <w:r>
              <w:rPr>
                <w:rFonts w:hint="eastAsia" w:ascii="宋体" w:hAnsi="宋体" w:eastAsia="宋体" w:cs="宋体"/>
                <w:bCs/>
                <w:sz w:val="24"/>
                <w:szCs w:val="24"/>
                <w:lang w:val="en-US" w:eastAsia="zh-CN"/>
              </w:rPr>
              <w:t xml:space="preserve">烟草燃烧后，可释放出的多环芳烃、苯井芘、亚硝胺、酚类、放射性氡等有很强的致癌性。不仅肺癌与吸烟有关，口、咽、喉、食管、胃、胰、肝、膀胱、尿道与宫颈等癌症等均与吸烟有关。 </w:t>
            </w:r>
          </w:p>
          <w:p w14:paraId="2D495F5C">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2. 嗜酒</w:t>
            </w:r>
            <w:r>
              <w:rPr>
                <w:rFonts w:hint="eastAsia" w:ascii="宋体" w:hAnsi="宋体" w:eastAsia="宋体" w:cs="宋体"/>
                <w:bCs/>
                <w:sz w:val="24"/>
                <w:szCs w:val="24"/>
                <w:lang w:val="en-US" w:eastAsia="zh-CN"/>
              </w:rPr>
              <w:t xml:space="preserve"> 根据流行病学的调查，过量饮酒可增加一些癌症的发病率和病死率。而且大多有剂量效应，即饮酒量越多，危险度越高。酒主要含乙醇，乙醇在人体内的代谢产物乙醛，实验证明为致癌物。酒还可能与其他致癌物有协同作用，引起咽喉癌、食管癌、肝癌等。例如酒可能增强乙型肝炎病毒、黄曲霉毒素等导致肝癌的作用。 </w:t>
            </w:r>
          </w:p>
          <w:p w14:paraId="3ADEFB2B">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3. 不良饮食习惯</w:t>
            </w:r>
            <w:r>
              <w:rPr>
                <w:rFonts w:hint="eastAsia" w:ascii="宋体" w:hAnsi="宋体" w:eastAsia="宋体" w:cs="宋体"/>
                <w:bCs/>
                <w:sz w:val="24"/>
                <w:szCs w:val="24"/>
                <w:lang w:val="en-US" w:eastAsia="zh-CN"/>
              </w:rPr>
              <w:t xml:space="preserve"> 据估计，与饮食相关的癌约占 35%。我国居民喜欢吃腌制食品，如咸鱼、咸菜，均含大量亚硝胺，而亚硝胺与食管癌、胃癌、鼻咽癌等多种癌症密切相关；烧烤食品含有较多的多环芳烃类苯芘，同样与胃癌、肺癌等的发生有关。高脂肪饮食与结肠癌、乳腺癌、前列腺癌可能有关；食物中纤维素太少可能与结肠癌有关。我国由于生活条件改善以及饮食的部分西方化，结肠癌、乳腺癌、胰腺癌、前列腺癌等已有明显上升趋势；进食过多引起的肥胖，也与很多癌症有关，尤其是乳腺癌、胆囊癌、子宫体癌。 </w:t>
            </w:r>
          </w:p>
          <w:p w14:paraId="2C304DA8">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
                <w:bCs w:val="0"/>
                <w:sz w:val="24"/>
                <w:szCs w:val="24"/>
                <w:lang w:val="en-US" w:eastAsia="zh-CN"/>
              </w:rPr>
            </w:pPr>
            <w:r>
              <w:rPr>
                <w:rFonts w:hint="eastAsia" w:ascii="宋体" w:hAnsi="宋体" w:eastAsia="宋体" w:cs="宋体"/>
                <w:b/>
                <w:bCs w:val="0"/>
                <w:sz w:val="24"/>
                <w:szCs w:val="24"/>
                <w:lang w:val="en-US" w:eastAsia="zh-CN"/>
              </w:rPr>
              <w:t xml:space="preserve">二、临床表现 </w:t>
            </w:r>
          </w:p>
          <w:p w14:paraId="566DEEEA">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肿瘤的临床表现因其细胞成分、发生部位和发展程度有所不同，可呈现多种多样的临床表现。一般而言，早期肿瘤症状不明显，肿瘤发展后表现就比较显著。 </w:t>
            </w:r>
          </w:p>
          <w:p w14:paraId="0DE4D6AA">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 xml:space="preserve">（一）全身表现 </w:t>
            </w:r>
          </w:p>
          <w:p w14:paraId="6D5FA7E7">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良性肿瘤和早期恶性肿瘤患者多无明显全身症状，大多数恶性肿瘤发展到相当程度都有全身性改变。</w:t>
            </w:r>
          </w:p>
          <w:p w14:paraId="52C5BE45">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 xml:space="preserve">1. 乏力、消瘦 </w:t>
            </w:r>
            <w:r>
              <w:rPr>
                <w:rFonts w:hint="eastAsia" w:ascii="宋体" w:hAnsi="宋体" w:eastAsia="宋体" w:cs="宋体"/>
                <w:bCs/>
                <w:sz w:val="24"/>
                <w:szCs w:val="24"/>
                <w:lang w:val="en-US" w:eastAsia="zh-CN"/>
              </w:rPr>
              <w:t xml:space="preserve">原因可能是肿瘤生长较快而消耗较多能量，饮食减少，消化吸收不良，疼痛或精神因素妨碍休息。 </w:t>
            </w:r>
          </w:p>
          <w:p w14:paraId="568C2D48">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2. 发热</w:t>
            </w:r>
            <w:r>
              <w:rPr>
                <w:rFonts w:hint="eastAsia" w:ascii="宋体" w:hAnsi="宋体" w:eastAsia="宋体" w:cs="宋体"/>
                <w:bCs/>
                <w:sz w:val="24"/>
                <w:szCs w:val="24"/>
                <w:lang w:val="en-US" w:eastAsia="zh-CN"/>
              </w:rPr>
              <w:t xml:space="preserve"> 与肿瘤代谢率增高、肿瘤组织坏死后的分解产物被吸收或并发感染有关，有些发热原因不明。 </w:t>
            </w:r>
          </w:p>
          <w:p w14:paraId="7EC65F8D">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3. 贫血</w:t>
            </w:r>
            <w:r>
              <w:rPr>
                <w:rFonts w:hint="eastAsia" w:ascii="宋体" w:hAnsi="宋体" w:eastAsia="宋体" w:cs="宋体"/>
                <w:bCs/>
                <w:sz w:val="24"/>
                <w:szCs w:val="24"/>
                <w:lang w:val="en-US" w:eastAsia="zh-CN"/>
              </w:rPr>
              <w:t xml:space="preserve"> 可能与肿瘤出血或造血功能障碍有关。 </w:t>
            </w:r>
          </w:p>
          <w:p w14:paraId="407BCDD8">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 xml:space="preserve">4. 恶病质 </w:t>
            </w:r>
            <w:r>
              <w:rPr>
                <w:rFonts w:hint="eastAsia" w:ascii="宋体" w:hAnsi="宋体" w:eastAsia="宋体" w:cs="宋体"/>
                <w:bCs/>
                <w:sz w:val="24"/>
                <w:szCs w:val="24"/>
                <w:lang w:val="en-US" w:eastAsia="zh-CN"/>
              </w:rPr>
              <w:t>为晚期肿瘤全身衰竭表现。</w:t>
            </w:r>
          </w:p>
          <w:p w14:paraId="1A6AD2E9">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
                <w:bCs w:val="0"/>
                <w:sz w:val="24"/>
                <w:szCs w:val="24"/>
                <w:lang w:val="en-US" w:eastAsia="zh-CN"/>
              </w:rPr>
            </w:pPr>
            <w:r>
              <w:rPr>
                <w:rFonts w:hint="eastAsia" w:ascii="宋体" w:hAnsi="宋体" w:eastAsia="宋体" w:cs="宋体"/>
                <w:b/>
                <w:bCs w:val="0"/>
                <w:sz w:val="24"/>
                <w:szCs w:val="24"/>
                <w:lang w:val="en-US" w:eastAsia="zh-CN"/>
              </w:rPr>
              <w:t xml:space="preserve">（二）局部表现 </w:t>
            </w:r>
          </w:p>
          <w:p w14:paraId="36B3FC3F">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 xml:space="preserve">1. 肿块 </w:t>
            </w:r>
            <w:r>
              <w:rPr>
                <w:rFonts w:hint="eastAsia" w:ascii="宋体" w:hAnsi="宋体" w:eastAsia="宋体" w:cs="宋体"/>
                <w:bCs/>
                <w:sz w:val="24"/>
                <w:szCs w:val="24"/>
                <w:lang w:val="en-US" w:eastAsia="zh-CN"/>
              </w:rPr>
              <w:t xml:space="preserve">为肿瘤细胞不断增殖所形成。肿块常是位于体表或浅在肿瘤的最早症状，也是诊断肿瘤的重要依据。一般而论，良性肿瘤增长较慢，境界清楚，表面光滑，可推移；恶性肿瘤增长较快，表面凹凸不平，不易推移，有些境界不清楚。位于深在或内脏的肿瘤，肿块不易触及，但可出现肿瘤压迫、阻塞或破坏所在器官的相应症状。 </w:t>
            </w:r>
          </w:p>
          <w:p w14:paraId="1C227608">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2. 疼痛</w:t>
            </w:r>
            <w:r>
              <w:rPr>
                <w:rFonts w:hint="eastAsia" w:ascii="宋体" w:hAnsi="宋体" w:eastAsia="宋体" w:cs="宋体"/>
                <w:bCs/>
                <w:sz w:val="24"/>
                <w:szCs w:val="24"/>
                <w:lang w:val="en-US" w:eastAsia="zh-CN"/>
              </w:rPr>
              <w:t xml:space="preserve"> 为恶性肿瘤发展后的常见症状之一，也是促使患者就医的主要原因。开始时多为隐痛、钝痛，常以夜间明显，逐渐加重而疼痛难忍，昼夜不休。良性肿瘤无疼痛或较少疼痛症状，但肿瘤增大压迫邻近器官组织时也可出现压迫性疼痛症状，需与恶性肿瘤的疼痛加以区别。 </w:t>
            </w:r>
          </w:p>
          <w:p w14:paraId="4E41F58E">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3. 溃疡</w:t>
            </w:r>
            <w:r>
              <w:rPr>
                <w:rFonts w:hint="eastAsia" w:ascii="宋体" w:hAnsi="宋体" w:eastAsia="宋体" w:cs="宋体"/>
                <w:bCs/>
                <w:sz w:val="24"/>
                <w:szCs w:val="24"/>
                <w:lang w:val="en-US" w:eastAsia="zh-CN"/>
              </w:rPr>
              <w:t xml:space="preserve"> 为体表或空腔脏器的恶性肿瘤，若生长过快，血供不足而表面组织坏死所形成。恶性溃疡呈火山口状或菜花状，边缘可隆起外翻，基底凹凸不平，有较多坏死组织，易出血，可有恶臭血性分泌物。 </w:t>
            </w:r>
          </w:p>
          <w:p w14:paraId="549B20EB">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4. 出血</w:t>
            </w:r>
            <w:r>
              <w:rPr>
                <w:rFonts w:hint="eastAsia" w:ascii="宋体" w:hAnsi="宋体" w:eastAsia="宋体" w:cs="宋体"/>
                <w:bCs/>
                <w:sz w:val="24"/>
                <w:szCs w:val="24"/>
                <w:lang w:val="en-US" w:eastAsia="zh-CN"/>
              </w:rPr>
              <w:t xml:space="preserve"> 来自溃疡或肿瘤破裂。体表肿瘤出血可直接发现。体内肿瘤少量出血表现为血痰、黏液血便或血性白带等；大量出血表现为咯血、呕血或黑便等。肿瘤一旦发生出血常反复不止。 </w:t>
            </w:r>
          </w:p>
          <w:p w14:paraId="35D04240">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5. 梗阻</w:t>
            </w:r>
            <w:r>
              <w:rPr>
                <w:rFonts w:hint="eastAsia" w:ascii="宋体" w:hAnsi="宋体" w:eastAsia="宋体" w:cs="宋体"/>
                <w:bCs/>
                <w:sz w:val="24"/>
                <w:szCs w:val="24"/>
                <w:lang w:val="en-US" w:eastAsia="zh-CN"/>
              </w:rPr>
              <w:t xml:space="preserve"> 良性和恶性肿瘤都可能影响呼吸道、胃肠道、胆道或泌尿道的通畅性，引起呼吸困难、腹胀、呕吐、黄疸或尿潴留等。由恶性肿瘤引起的梗阻症状加重较快。 </w:t>
            </w:r>
          </w:p>
          <w:p w14:paraId="64AD3437">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 xml:space="preserve">6. 转移症状 </w:t>
            </w:r>
            <w:r>
              <w:rPr>
                <w:rFonts w:hint="eastAsia" w:ascii="宋体" w:hAnsi="宋体" w:eastAsia="宋体" w:cs="宋体"/>
                <w:bCs/>
                <w:sz w:val="24"/>
                <w:szCs w:val="24"/>
                <w:lang w:val="en-US" w:eastAsia="zh-CN"/>
              </w:rPr>
              <w:t xml:space="preserve">当肿瘤转移至淋巴结，可出现区域淋巴结肿大；如果发生其他脏器转移，也可有相应表现，如骨转移可有疼痛或触及硬结，甚至发生病理性骨折等。 </w:t>
            </w:r>
          </w:p>
          <w:p w14:paraId="76E6B1F2">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7. 其他</w:t>
            </w:r>
            <w:r>
              <w:rPr>
                <w:rFonts w:hint="eastAsia" w:ascii="宋体" w:hAnsi="宋体" w:eastAsia="宋体" w:cs="宋体"/>
                <w:bCs/>
                <w:sz w:val="24"/>
                <w:szCs w:val="24"/>
                <w:lang w:val="en-US" w:eastAsia="zh-CN"/>
              </w:rPr>
              <w:t xml:space="preserve"> 如肺癌可引起胸腔积液，胃癌和肝癌可引起腹水，骨肿瘤可引起病理性骨折等。另外，发生于口、鼻、咽、消化道、呼吸道及泌尿生殖器官的肿瘤，一旦肿瘤向腔内溃破或并发感染时，可有血性，黏液血性或腐臭的分泌物由腔道排出。此症状应引起高度重视，收集这些分泌物行细胞学检查可助诊断，并可与常见的急、慢性炎症相鉴别。</w:t>
            </w:r>
          </w:p>
          <w:p w14:paraId="48C0AFBE">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三、诊断</w:t>
            </w:r>
            <w:r>
              <w:rPr>
                <w:rFonts w:hint="eastAsia" w:ascii="宋体" w:hAnsi="宋体" w:eastAsia="宋体" w:cs="宋体"/>
                <w:bCs/>
                <w:sz w:val="24"/>
                <w:szCs w:val="24"/>
                <w:lang w:val="en-US" w:eastAsia="zh-CN"/>
              </w:rPr>
              <w:t xml:space="preserve"> </w:t>
            </w:r>
          </w:p>
          <w:p w14:paraId="74E2F506">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肿瘤的诊断是对有无肿瘤，肿瘤的性质和程度作出的判断。肿瘤的诊断方法与其他疾病的诊断方法相似，病史和体检是最基本、最重要的诊断手段。全面、系统的病史询问，详尽细致的体检，必要的实验室检查及针对性特殊检查能够对肿瘤进行综合诊断。 </w:t>
            </w:r>
          </w:p>
          <w:p w14:paraId="6AC462D7">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1. 病史</w:t>
            </w:r>
            <w:r>
              <w:rPr>
                <w:rFonts w:hint="eastAsia" w:ascii="宋体" w:hAnsi="宋体" w:eastAsia="宋体" w:cs="宋体"/>
                <w:bCs/>
                <w:sz w:val="24"/>
                <w:szCs w:val="24"/>
                <w:lang w:val="en-US" w:eastAsia="zh-CN"/>
              </w:rPr>
              <w:t xml:space="preserve"> 病程、年龄、性别、职业、既往史、居留地、嗜好、家族史和女性患者的婚姻生育情况等都是诊断肿瘤中需要了解的病史。 </w:t>
            </w:r>
          </w:p>
          <w:p w14:paraId="6C17E713">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2. 体格检查</w:t>
            </w:r>
            <w:r>
              <w:rPr>
                <w:rFonts w:hint="eastAsia" w:ascii="宋体" w:hAnsi="宋体" w:eastAsia="宋体" w:cs="宋体"/>
                <w:bCs/>
                <w:sz w:val="24"/>
                <w:szCs w:val="24"/>
                <w:lang w:val="en-US" w:eastAsia="zh-CN"/>
              </w:rPr>
              <w:t xml:space="preserve"> 体格检查不但对肿瘤的诊断和鉴别诊断至关重要，而且对确定肿瘤有无转移，估计患者的全身和局部情况，从而为治疗方案作出决策，也具有重要作用。全身检查，除进行一般常规体检外，对肿瘤转移多见部位不可疏漏，如颈部和腹股沟的淋巴结检查，肛门指诊等。 </w:t>
            </w:r>
          </w:p>
          <w:p w14:paraId="4D60D3AC">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肿瘤局部检查是体检的重点，主要包括肿块的部位、性状和区域淋巴结检查。肿块的性状检查，如大小、外形、质地、血管分布、有无包膜及活动度等体征对肿痛的诊断有重要意义。 </w:t>
            </w:r>
          </w:p>
          <w:p w14:paraId="419EEB14">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3. 实验室检查</w:t>
            </w:r>
            <w:r>
              <w:rPr>
                <w:rFonts w:hint="eastAsia" w:ascii="宋体" w:hAnsi="宋体" w:eastAsia="宋体" w:cs="宋体"/>
                <w:bCs/>
                <w:sz w:val="24"/>
                <w:szCs w:val="24"/>
                <w:lang w:val="en-US" w:eastAsia="zh-CN"/>
              </w:rPr>
              <w:t xml:space="preserve"> 常规化验包括血、尿和粪便常规检查。其阳性结果对恶性肿瘤的诊断虽无特异性意义，但常可提供诊断线索。白血病患者的血象常明显改变、泌尿系肿瘤可有血尿、胃肠道肿瘤可有大便隐血阳性、恶性肿瘤常伴有血沉加快。</w:t>
            </w:r>
          </w:p>
          <w:p w14:paraId="44BD6622">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4. 影像学检查</w:t>
            </w:r>
            <w:r>
              <w:rPr>
                <w:rFonts w:hint="eastAsia" w:ascii="宋体" w:hAnsi="宋体" w:eastAsia="宋体" w:cs="宋体"/>
                <w:bCs/>
                <w:sz w:val="24"/>
                <w:szCs w:val="24"/>
                <w:lang w:val="en-US" w:eastAsia="zh-CN"/>
              </w:rPr>
              <w:t xml:space="preserve"> 随着医疗诊断技术的发展，诊断仪器更新，各种影像学检查对肿瘤的诊断起着重要作用。X 线、超声波、各种造影、放射性核素、数字减影摄像（DSA）、X 线计算机断层扫描（CT）、磁共振（MRI）、正电子发射型计算机断层（PET）等，都可为肿瘤提供确切的定位诊断。 </w:t>
            </w:r>
          </w:p>
          <w:p w14:paraId="6C58A146">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5. 内镜检查</w:t>
            </w:r>
            <w:r>
              <w:rPr>
                <w:rFonts w:hint="eastAsia" w:ascii="宋体" w:hAnsi="宋体" w:eastAsia="宋体" w:cs="宋体"/>
                <w:bCs/>
                <w:sz w:val="24"/>
                <w:szCs w:val="24"/>
                <w:lang w:val="en-US" w:eastAsia="zh-CN"/>
              </w:rPr>
              <w:t xml:space="preserve"> 凡属空腔脏器或位于某些体腔的肿瘤，大多可相应的金属或纤维光导内镜检查。通过内镜可窥视肿瘤的肉眼改变、采取组织或细胞行病理形态学检查；向输尿管、胆总管或胰管插入导管作 X 线造影检查；进行超声内镜检查等。 </w:t>
            </w:r>
          </w:p>
          <w:p w14:paraId="1D100CB9">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6. 病理形态学检查</w:t>
            </w:r>
            <w:r>
              <w:rPr>
                <w:rFonts w:hint="eastAsia" w:ascii="宋体" w:hAnsi="宋体" w:eastAsia="宋体" w:cs="宋体"/>
                <w:bCs/>
                <w:sz w:val="24"/>
                <w:szCs w:val="24"/>
                <w:lang w:val="en-US" w:eastAsia="zh-CN"/>
              </w:rPr>
              <w:t xml:space="preserve"> 病理形态学检查是确定肿瘤性质的直接而可靠依据，包括细胞学检查和组织学检查两部分。</w:t>
            </w:r>
          </w:p>
          <w:p w14:paraId="6DB47919">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1）细细胞学检査：用各种方法取得瘤细胞和组织颗粒，鉴定其性质。如用浓集法收集痰、胸腔积液、腹水或冲洗液等细胞；用拉网法收集食管和胃的脱落细胞；用印片法取得表浅的瘤体表面细胞；用穿刺法取得比较深在的瘤细胞，进行细胞学检查。但有假阳性和阳性率不高的缺点，尚不能完全代替病理组织切片检查。 </w:t>
            </w:r>
          </w:p>
          <w:p w14:paraId="3779F0DD">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2）病理组织学检查：通过各种内镜活检钳取肿瘤组织；或施行手术切取；或用针穿刺活检；手术中切取组织作快速（冷冻）切片检査。病理组织学检查是决定肿瘤诊断准确性最高的方法，适用于其他方法不能确定性质的肿块或已怀疑呈恶性变的良性瘤。 </w:t>
            </w:r>
          </w:p>
          <w:p w14:paraId="399FB89E">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该检査有一定的损伤作用，可能致使恶性肿瘤扩散，因此要在术前短期内或手术中施行。</w:t>
            </w:r>
          </w:p>
          <w:p w14:paraId="3976049C">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四、治疗</w:t>
            </w:r>
            <w:r>
              <w:rPr>
                <w:rFonts w:hint="eastAsia" w:ascii="宋体" w:hAnsi="宋体" w:eastAsia="宋体" w:cs="宋体"/>
                <w:bCs/>
                <w:sz w:val="24"/>
                <w:szCs w:val="24"/>
                <w:lang w:val="en-US" w:eastAsia="zh-CN"/>
              </w:rPr>
              <w:t xml:space="preserve"> </w:t>
            </w:r>
          </w:p>
          <w:p w14:paraId="04149024">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良性肿瘤一般采用手术切除。良性肿瘤切除时，应连同包膜完整切除，并作病理检査。部分良性肿瘤可采用放射、冷冻、激光等方法治疗。恶性肿瘤的第一次治疗是否正确对其预后有直接影响。恶性肿瘤为全身性疾病，常较早浸润和转移。仅进行局部治疗多不能根治，必须根据肿瘤部位、组织来源、临床分期与病理学检查，制订综合治疗方案。 </w:t>
            </w:r>
          </w:p>
          <w:p w14:paraId="073FB02F">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1. 手术治疗</w:t>
            </w:r>
            <w:r>
              <w:rPr>
                <w:rFonts w:hint="eastAsia" w:ascii="宋体" w:hAnsi="宋体" w:eastAsia="宋体" w:cs="宋体"/>
                <w:bCs/>
                <w:sz w:val="24"/>
                <w:szCs w:val="24"/>
                <w:lang w:val="en-US" w:eastAsia="zh-CN"/>
              </w:rPr>
              <w:t xml:space="preserve"> 手术治疗是治疗恶性肿瘤最重要的手段，尤对早、中期恶性肿瘤应列为首选方法，某些早期肿瘤经手术切除，可完全治愈、长期存活。 </w:t>
            </w:r>
          </w:p>
          <w:p w14:paraId="6FA9C597">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（1）根治手术：手术切除范围包括癌肿所在器官大部分或全部，并连同一部分周围组织或区域淋巴结的一次性整块切除。 </w:t>
            </w:r>
          </w:p>
          <w:p w14:paraId="5C70B97A">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（2）扩大根治术：在根治范围基础上适当切除附近器官和区域淋巴结。 </w:t>
            </w:r>
          </w:p>
          <w:p w14:paraId="5D763712">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3）对症手术或姑息手术：对较晚期的癌肿，病变广泛或有远处转移而不能根治切除者，采取肿瘤部分切除的手术，以达到缓解症状的目的。对症手术可减轻痛苦、延长生命、提高生存质量，甚至可以争取到进一步综合治疗的机会。 </w:t>
            </w:r>
          </w:p>
          <w:p w14:paraId="75351688">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2. 抗癌药物治疗</w:t>
            </w:r>
            <w:r>
              <w:rPr>
                <w:rFonts w:hint="eastAsia" w:ascii="宋体" w:hAnsi="宋体" w:eastAsia="宋体" w:cs="宋体"/>
                <w:bCs/>
                <w:sz w:val="24"/>
                <w:szCs w:val="24"/>
                <w:lang w:val="en-US" w:eastAsia="zh-CN"/>
              </w:rPr>
              <w:t xml:space="preserve"> 简称化疗，配合手术及放疗，可防止肿瘤复发和转移。由于抗癌药物对正常细胞也有一定的损害，用药后可能出现各种不良反应，常见的有：①白细胞、血小板减少；②消化道反应，如恶心、呕吐、腹泻、口腔溃疡等；③毛发脱落；④血尿； </w:t>
            </w:r>
          </w:p>
          <w:p w14:paraId="7C109933">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⑤免疫功能降低，患者容易并发细菌或真菌感染。 </w:t>
            </w:r>
          </w:p>
          <w:p w14:paraId="23B09B56">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3. 放射治疗</w:t>
            </w:r>
            <w:r>
              <w:rPr>
                <w:rFonts w:hint="eastAsia" w:ascii="宋体" w:hAnsi="宋体" w:eastAsia="宋体" w:cs="宋体"/>
                <w:bCs/>
                <w:sz w:val="24"/>
                <w:szCs w:val="24"/>
                <w:lang w:val="en-US" w:eastAsia="zh-CN"/>
              </w:rPr>
              <w:t xml:space="preserve"> 简称放疗，放疗分为外照射和内照射两类方法。射线线对正常组织细胞有损害作用，尤其辐射量大时容易损害造血器官和血管组织，引起白细胞减少、血小板减少、皮肤黏膜改变，胃肠反应等。</w:t>
            </w:r>
          </w:p>
          <w:p w14:paraId="5C5167A9">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 xml:space="preserve">4. 生物治疗 </w:t>
            </w:r>
            <w:r>
              <w:rPr>
                <w:rFonts w:hint="eastAsia" w:ascii="宋体" w:hAnsi="宋体" w:eastAsia="宋体" w:cs="宋体"/>
                <w:bCs/>
                <w:sz w:val="24"/>
                <w:szCs w:val="24"/>
                <w:lang w:val="en-US" w:eastAsia="zh-CN"/>
              </w:rPr>
              <w:t xml:space="preserve">肿瘤生物治疗包括免疫治疗和基因治疗两大类。 </w:t>
            </w:r>
          </w:p>
          <w:p w14:paraId="513720D5">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（1）免疫治疗：机体通过调动内部防御系统，达到遏制肿瘤生长的目的。目前免疫治疗应用较广泛，但是需要提高疗效和安全性。 </w:t>
            </w:r>
          </w:p>
          <w:p w14:paraId="00A10ED6">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（2）基因治疗：肿瘤基因治疗是应用基因工程技术，干预存在于靶细胞的相关基因的表达水平以达到治疗肿瘤的目的。大多数肿瘤基因治疗方法目前还处于研究阶段。 </w:t>
            </w:r>
          </w:p>
          <w:p w14:paraId="17652931">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5. 内分泌治疗</w:t>
            </w:r>
            <w:r>
              <w:rPr>
                <w:rFonts w:hint="eastAsia" w:ascii="宋体" w:hAnsi="宋体" w:eastAsia="宋体" w:cs="宋体"/>
                <w:bCs/>
                <w:sz w:val="24"/>
                <w:szCs w:val="24"/>
                <w:lang w:val="en-US" w:eastAsia="zh-CN"/>
              </w:rPr>
              <w:t xml:space="preserve"> 又称激素治疗，用于某些发生、发展与激素密切相关的肿瘤治疗。 </w:t>
            </w:r>
          </w:p>
          <w:p w14:paraId="68480E2D">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如卵巢癌可用黄体酮类药物治疗，乳腺癌可用三苯氧胺治疗等。 </w:t>
            </w:r>
          </w:p>
          <w:p w14:paraId="24F46412">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6. 中医中药治疗</w:t>
            </w:r>
            <w:r>
              <w:rPr>
                <w:rFonts w:hint="eastAsia" w:ascii="宋体" w:hAnsi="宋体" w:eastAsia="宋体" w:cs="宋体"/>
                <w:bCs/>
                <w:sz w:val="24"/>
                <w:szCs w:val="24"/>
                <w:lang w:val="en-US" w:eastAsia="zh-CN"/>
              </w:rPr>
              <w:t xml:space="preserve"> 多配合化疗、放疗或手术后治疗，可减轻不良反应和改善全身状态。 </w:t>
            </w:r>
          </w:p>
          <w:p w14:paraId="54113B0C">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7. 营养支持</w:t>
            </w:r>
            <w:r>
              <w:rPr>
                <w:rFonts w:hint="eastAsia" w:ascii="宋体" w:hAnsi="宋体" w:eastAsia="宋体" w:cs="宋体"/>
                <w:bCs/>
                <w:sz w:val="24"/>
                <w:szCs w:val="24"/>
                <w:lang w:val="en-US" w:eastAsia="zh-CN"/>
              </w:rPr>
              <w:t xml:space="preserve"> 肿瘤患者营养失调问题比较普遍。充分的营养是保证生理需要和疾病康复的重要条件。因此，要加强营养知识宣教，制订合理的饮食计划，创造愉快舒适的进餐环境，鼓励患者摄取足够的营养。 </w:t>
            </w:r>
          </w:p>
          <w:p w14:paraId="7E94D2E5">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8. 疼痛治疗</w:t>
            </w:r>
            <w:r>
              <w:rPr>
                <w:rFonts w:hint="eastAsia" w:ascii="宋体" w:hAnsi="宋体" w:eastAsia="宋体" w:cs="宋体"/>
                <w:bCs/>
                <w:sz w:val="24"/>
                <w:szCs w:val="24"/>
                <w:lang w:val="en-US" w:eastAsia="zh-CN"/>
              </w:rPr>
              <w:t xml:space="preserve"> 绝大多数癌症患者晚期都有剧烈疼痛，目前多数癌性疼痛都能得到有效的控制。 </w:t>
            </w:r>
          </w:p>
          <w:p w14:paraId="36F2B865">
            <w:pPr>
              <w:keepNext w:val="0"/>
              <w:keepLines w:val="0"/>
              <w:widowControl/>
              <w:suppressLineNumbers w:val="0"/>
              <w:spacing w:before="0" w:beforeAutospacing="0" w:after="0" w:afterAutospacing="0" w:line="360" w:lineRule="auto"/>
              <w:ind w:left="0" w:right="0" w:firstLine="482" w:firstLineChars="200"/>
              <w:jc w:val="both"/>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五、预防</w:t>
            </w:r>
            <w:r>
              <w:rPr>
                <w:rFonts w:hint="eastAsia" w:ascii="宋体" w:hAnsi="宋体" w:eastAsia="宋体" w:cs="宋体"/>
                <w:bCs/>
                <w:sz w:val="24"/>
                <w:szCs w:val="24"/>
                <w:lang w:val="en-US" w:eastAsia="zh-CN"/>
              </w:rPr>
              <w:t xml:space="preserve"> </w:t>
            </w:r>
          </w:p>
          <w:p w14:paraId="0A63BF4D">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随着人类对恶性肿瘤认识的不断深化，逐渐意识到预防是抗击癌症最有效的武器。有科学研究表明，癌症是可以避免的。1/3 的癌症可以预防；1/3 的癌症如能及早诊断，则可能治愈；合理而有效的姑息治疗可使剩余 1/3 的癌症患者的生存质量得到改善。 </w:t>
            </w:r>
          </w:p>
          <w:p w14:paraId="315A5756">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（1）一级预防是消除或减少可能致癌的因素，防止癌症的发生。目的是减少癌症的发病率。绝不吸烟，培养和保持良好的饮食习惯，做到饮食结构科学、加工制作方法合理。 </w:t>
            </w:r>
          </w:p>
          <w:p w14:paraId="60750A8D">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2）二级预防是早期发现、早期诊断与早期治疗。目的则是降低癌症的病死率。对高发区高危人群定期检査是较确切可行的方法，从中发现癌前期病变及时治疗，如切除胃肠道腺瘤或息肉，及时治疗子宫颈慢性炎症伴不典型增生病变，治疗慢性胃溃疡或经久不愈的下肢溃疡。 </w:t>
            </w:r>
          </w:p>
          <w:p w14:paraId="3EF34F66">
            <w:pPr>
              <w:keepNext w:val="0"/>
              <w:keepLines w:val="0"/>
              <w:widowControl/>
              <w:suppressLineNumbers w:val="0"/>
              <w:spacing w:before="0" w:beforeAutospacing="0" w:after="0" w:afterAutospacing="0" w:line="360" w:lineRule="auto"/>
              <w:ind w:left="0" w:right="0" w:firstLine="480" w:firstLineChars="200"/>
              <w:jc w:val="both"/>
              <w:rPr>
                <w:rFonts w:hint="eastAsia" w:ascii="宋体" w:hAnsi="宋体" w:eastAsia="宋体" w:cs="宋体"/>
                <w:color w:val="231F20"/>
                <w:kern w:val="0"/>
                <w:sz w:val="24"/>
                <w:szCs w:val="24"/>
                <w:lang w:val="en-US" w:eastAsia="zh-CN" w:bidi="ar"/>
              </w:rPr>
            </w:pPr>
            <w:r>
              <w:rPr>
                <w:rFonts w:hint="eastAsia" w:ascii="宋体" w:hAnsi="宋体" w:eastAsia="宋体" w:cs="宋体"/>
                <w:bCs/>
                <w:sz w:val="24"/>
                <w:szCs w:val="24"/>
                <w:lang w:val="en-US" w:eastAsia="zh-CN"/>
              </w:rPr>
              <w:t>（3）三级预防是提高生存治疗及减轻痛苦、延长生命、改善生存质量的治疗。对晚期癌症的疼痛，世界卫生组织提出三阶梯治疗方案。</w:t>
            </w:r>
          </w:p>
          <w:p w14:paraId="0E28517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jc w:val="both"/>
              <w:textAlignment w:val="auto"/>
              <w:rPr>
                <w:rFonts w:hint="eastAsia" w:ascii="宋体" w:hAnsi="宋体" w:eastAsia="宋体" w:cs="宋体"/>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96" w:type="dxa"/>
            <w:tcBorders>
              <w:tl2br w:val="nil"/>
              <w:tr2bl w:val="nil"/>
            </w:tcBorders>
            <w:vAlign w:val="center"/>
          </w:tcPr>
          <w:p w14:paraId="6D97941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jc w:val="both"/>
              <w:textAlignment w:val="auto"/>
              <w:rPr>
                <w:rFonts w:hint="default" w:ascii="Times New Roman" w:hAnsi="Times New Roman"/>
                <w:b/>
                <w:sz w:val="24"/>
                <w:szCs w:val="24"/>
              </w:rPr>
            </w:pPr>
            <w:r>
              <w:rPr>
                <w:rFonts w:hint="eastAsia" w:ascii="Times New Roman" w:hAnsi="Times New Roman"/>
                <w:b/>
                <w:sz w:val="24"/>
                <w:szCs w:val="24"/>
              </w:rPr>
              <w:t>通过教师讲解，了解</w:t>
            </w:r>
            <w:r>
              <w:rPr>
                <w:rFonts w:hint="eastAsia" w:ascii="Times New Roman" w:hAnsi="Times New Roman"/>
                <w:b/>
                <w:sz w:val="24"/>
                <w:szCs w:val="24"/>
                <w:lang w:val="en-US" w:eastAsia="zh-CN"/>
              </w:rPr>
              <w:t>肿瘤</w:t>
            </w:r>
            <w:r>
              <w:rPr>
                <w:rFonts w:hint="eastAsia" w:ascii="Times New Roman" w:hAnsi="Times New Roman"/>
                <w:b/>
                <w:sz w:val="24"/>
                <w:szCs w:val="24"/>
              </w:rPr>
              <w:t>的基本理论知识。</w:t>
            </w:r>
          </w:p>
        </w:tc>
      </w:tr>
      <w:tr w14:paraId="3D2856C3">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E85BE97">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575973DC">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eastAsia" w:ascii="Times New Roman" w:hAnsi="Times New Roman" w:cs="Times New Roman"/>
                <w:kern w:val="2"/>
                <w:sz w:val="24"/>
                <w:szCs w:val="24"/>
                <w:lang w:val="en-US" w:eastAsia="zh-CN" w:bidi="ar"/>
              </w:rPr>
              <w:t>3</w:t>
            </w:r>
            <w:r>
              <w:rPr>
                <w:rFonts w:hint="default" w:ascii="Times New Roman" w:hAnsi="Times New Roman" w:eastAsia="宋体" w:cs="Times New Roman"/>
                <w:kern w:val="2"/>
                <w:sz w:val="24"/>
                <w:szCs w:val="24"/>
                <w:lang w:val="en-US" w:eastAsia="zh-CN" w:bidi="ar"/>
              </w:rPr>
              <w:t>min</w:t>
            </w:r>
            <w:r>
              <w:rPr>
                <w:rFonts w:hint="eastAsia" w:ascii="宋体" w:hAnsi="宋体" w:eastAsia="宋体" w:cs="宋体"/>
                <w:kern w:val="2"/>
                <w:sz w:val="24"/>
                <w:szCs w:val="24"/>
                <w:lang w:val="en-US" w:eastAsia="zh-CN" w:bidi="ar"/>
              </w:rPr>
              <w:t>）</w:t>
            </w:r>
          </w:p>
        </w:tc>
        <w:tc>
          <w:tcPr>
            <w:tcW w:w="7208" w:type="dxa"/>
            <w:tcBorders>
              <w:tl2br w:val="nil"/>
              <w:tr2bl w:val="nil"/>
            </w:tcBorders>
            <w:vAlign w:val="center"/>
          </w:tcPr>
          <w:p w14:paraId="7099BEF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both"/>
              <w:textAlignment w:val="auto"/>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6CFE795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firstLine="482" w:firstLineChars="200"/>
              <w:jc w:val="both"/>
              <w:textAlignment w:val="auto"/>
              <w:rPr>
                <w:rFonts w:hint="eastAsia" w:ascii="宋体" w:hAnsi="宋体" w:eastAsia="宋体" w:cs="宋体"/>
                <w:b/>
                <w:bCs w:val="0"/>
                <w:kern w:val="2"/>
                <w:sz w:val="24"/>
                <w:szCs w:val="24"/>
                <w:lang w:val="en-US" w:eastAsia="zh-CN" w:bidi="ar"/>
              </w:rPr>
            </w:pPr>
            <w:r>
              <w:rPr>
                <w:rFonts w:hint="eastAsia" w:ascii="宋体" w:hAnsi="宋体" w:eastAsia="宋体" w:cs="宋体"/>
                <w:b/>
                <w:bCs w:val="0"/>
                <w:kern w:val="2"/>
                <w:sz w:val="24"/>
                <w:szCs w:val="24"/>
                <w:lang w:val="en-US" w:eastAsia="zh-CN" w:bidi="ar"/>
              </w:rPr>
              <w:t>这节课我们一起学习了肿瘤，知道</w:t>
            </w:r>
            <w:r>
              <w:rPr>
                <w:rFonts w:hint="default" w:ascii="宋体" w:hAnsi="宋体" w:eastAsia="宋体" w:cs="宋体"/>
                <w:b/>
                <w:bCs w:val="0"/>
                <w:kern w:val="2"/>
                <w:sz w:val="24"/>
                <w:szCs w:val="24"/>
                <w:lang w:val="en-US" w:eastAsia="zh-CN" w:bidi="ar"/>
              </w:rPr>
              <w:t>三级预防是提高生存治疗及减轻痛苦、延长生命、改善生存质量的治疗。对晚期癌症的疼痛，世界卫生组织提出三阶梯治疗方案。</w:t>
            </w:r>
          </w:p>
        </w:tc>
        <w:tc>
          <w:tcPr>
            <w:tcW w:w="1696" w:type="dxa"/>
            <w:tcBorders>
              <w:tl2br w:val="nil"/>
              <w:tr2bl w:val="nil"/>
            </w:tcBorders>
            <w:vAlign w:val="center"/>
          </w:tcPr>
          <w:p w14:paraId="1BA56735">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E7C96D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153F772">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4"/>
                <w:szCs w:val="24"/>
                <w:lang w:val="en-US" w:eastAsia="zh-CN" w:bidi="ar"/>
              </w:rPr>
              <w:t>（</w:t>
            </w:r>
            <w:r>
              <w:rPr>
                <w:rFonts w:hint="eastAsia" w:ascii="Times New Roman" w:hAnsi="Times New Roman" w:cs="Times New Roman"/>
                <w:b w:val="0"/>
                <w:bCs w:val="0"/>
                <w:kern w:val="2"/>
                <w:sz w:val="24"/>
                <w:szCs w:val="24"/>
                <w:lang w:val="en-US" w:eastAsia="zh-CN" w:bidi="ar"/>
              </w:rPr>
              <w:t>2</w:t>
            </w:r>
            <w:r>
              <w:rPr>
                <w:rFonts w:hint="default" w:ascii="Times New Roman" w:hAnsi="Times New Roman" w:eastAsia="宋体" w:cs="Times New Roman"/>
                <w:b w:val="0"/>
                <w:bCs w:val="0"/>
                <w:kern w:val="2"/>
                <w:sz w:val="24"/>
                <w:szCs w:val="24"/>
                <w:lang w:val="en-US" w:eastAsia="zh-CN" w:bidi="ar"/>
              </w:rPr>
              <w:t>min</w:t>
            </w:r>
            <w:r>
              <w:rPr>
                <w:rFonts w:hint="eastAsia" w:ascii="宋体" w:hAnsi="宋体" w:eastAsia="宋体" w:cs="宋体"/>
                <w:b w:val="0"/>
                <w:bCs w:val="0"/>
                <w:kern w:val="2"/>
                <w:sz w:val="24"/>
                <w:szCs w:val="24"/>
                <w:lang w:val="en-US" w:eastAsia="zh-CN" w:bidi="ar"/>
              </w:rPr>
              <w:t>）</w:t>
            </w:r>
          </w:p>
        </w:tc>
        <w:tc>
          <w:tcPr>
            <w:tcW w:w="7208" w:type="dxa"/>
            <w:tcBorders>
              <w:tl2br w:val="nil"/>
              <w:tr2bl w:val="nil"/>
            </w:tcBorders>
            <w:vAlign w:val="center"/>
          </w:tcPr>
          <w:p w14:paraId="1292098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both"/>
              <w:textAlignment w:val="auto"/>
              <w:rPr>
                <w:rFonts w:hint="eastAsia" w:ascii="宋体" w:hAnsi="宋体" w:eastAsia="宋体" w:cs="宋体"/>
                <w:b w:val="0"/>
                <w:bCs/>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14:paraId="7F2C963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firstLine="482" w:firstLineChars="200"/>
              <w:jc w:val="both"/>
              <w:textAlignment w:val="auto"/>
              <w:rPr>
                <w:rFonts w:hint="eastAsia" w:ascii="Calibri" w:hAnsi="宋体" w:eastAsia="宋体" w:cs="Times New Roman"/>
                <w:bCs/>
                <w:kern w:val="2"/>
                <w:sz w:val="24"/>
                <w:szCs w:val="24"/>
                <w:lang w:val="en-US" w:eastAsia="zh-CN" w:bidi="ar-SA"/>
              </w:rPr>
            </w:pPr>
            <w:r>
              <w:rPr>
                <w:rFonts w:hint="eastAsia" w:ascii="Times New Roman" w:hAnsi="宋体"/>
                <w:b/>
                <w:bCs w:val="0"/>
                <w:sz w:val="24"/>
                <w:szCs w:val="24"/>
                <w:lang w:val="en-US" w:eastAsia="zh-CN"/>
              </w:rPr>
              <w:t>简述</w:t>
            </w:r>
            <w:r>
              <w:rPr>
                <w:rFonts w:hint="default" w:ascii="Times New Roman" w:hAnsi="宋体"/>
                <w:b/>
                <w:bCs w:val="0"/>
                <w:sz w:val="24"/>
                <w:szCs w:val="24"/>
                <w:lang w:val="en-US" w:eastAsia="zh-CN"/>
              </w:rPr>
              <w:t>中医中药治疗</w:t>
            </w:r>
            <w:r>
              <w:rPr>
                <w:rFonts w:hint="eastAsia" w:ascii="Times New Roman" w:hAnsi="宋体"/>
                <w:b/>
                <w:bCs w:val="0"/>
                <w:sz w:val="24"/>
                <w:szCs w:val="24"/>
                <w:lang w:val="en-US" w:eastAsia="zh-CN"/>
              </w:rPr>
              <w:t>。</w:t>
            </w:r>
          </w:p>
        </w:tc>
        <w:tc>
          <w:tcPr>
            <w:tcW w:w="1696" w:type="dxa"/>
            <w:tcBorders>
              <w:tl2br w:val="nil"/>
              <w:tr2bl w:val="nil"/>
            </w:tcBorders>
            <w:vAlign w:val="center"/>
          </w:tcPr>
          <w:p w14:paraId="1B3BE06E">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val="0"/>
                <w:bCs/>
                <w:kern w:val="2"/>
                <w:sz w:val="24"/>
                <w:szCs w:val="24"/>
                <w:lang w:val="en-US" w:eastAsia="zh-CN" w:bidi="ar"/>
              </w:rPr>
              <w:t>通过课后练习，使学生巩固所学新知识</w:t>
            </w:r>
          </w:p>
        </w:tc>
      </w:tr>
      <w:tr w14:paraId="3BA60161">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1D5B4D0">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 w:val="24"/>
                <w:szCs w:val="24"/>
              </w:rPr>
              <w:t>（4</w:t>
            </w:r>
            <w:r>
              <w:rPr>
                <w:rFonts w:hint="eastAsia" w:ascii="Times New Roman" w:hAnsi="Times New Roman"/>
                <w:sz w:val="24"/>
                <w:szCs w:val="24"/>
                <w:lang w:val="en-US" w:eastAsia="zh-CN"/>
              </w:rPr>
              <w:t>0</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vAlign w:val="center"/>
          </w:tcPr>
          <w:p w14:paraId="369A99CA">
            <w:pPr>
              <w:keepNext w:val="0"/>
              <w:keepLines w:val="0"/>
              <w:widowControl/>
              <w:suppressLineNumbers w:val="0"/>
              <w:spacing w:before="0" w:beforeAutospacing="0" w:after="0" w:afterAutospacing="0" w:line="360" w:lineRule="auto"/>
              <w:ind w:left="0" w:right="0"/>
              <w:jc w:val="both"/>
              <w:rPr>
                <w:rFonts w:hint="eastAsia" w:ascii="Times New Roman" w:hAnsi="Times New Roman" w:eastAsia="宋体" w:cs="Times New Roman"/>
                <w:b/>
                <w:bCs w:val="0"/>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展示烧伤</w:t>
            </w:r>
          </w:p>
          <w:p w14:paraId="136A111F">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eastAsia" w:ascii="Times New Roman" w:hAnsi="宋体"/>
                <w:bCs/>
                <w:sz w:val="24"/>
                <w:szCs w:val="24"/>
                <w:lang w:val="en-US" w:eastAsia="zh-CN"/>
              </w:rPr>
              <w:t>烧伤是由热力所引起的组织损伤的统称。烧伤的程度因温度的高低、作用时间的长</w:t>
            </w:r>
            <w:r>
              <w:rPr>
                <w:rFonts w:hint="default" w:ascii="Times New Roman" w:hAnsi="宋体"/>
                <w:bCs/>
                <w:sz w:val="24"/>
                <w:szCs w:val="24"/>
                <w:lang w:val="en-US" w:eastAsia="zh-CN"/>
              </w:rPr>
              <w:t xml:space="preserve">短而不同。 </w:t>
            </w:r>
          </w:p>
          <w:p w14:paraId="4D648944">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
                <w:bCs w:val="0"/>
                <w:sz w:val="24"/>
                <w:szCs w:val="24"/>
              </w:rPr>
            </w:pPr>
            <w:r>
              <w:rPr>
                <w:rFonts w:hint="eastAsia" w:ascii="Times New Roman" w:hAnsi="宋体"/>
                <w:b/>
                <w:bCs w:val="0"/>
                <w:sz w:val="24"/>
                <w:szCs w:val="24"/>
                <w:lang w:val="en-US" w:eastAsia="zh-CN"/>
              </w:rPr>
              <w:t xml:space="preserve">一、病因 </w:t>
            </w:r>
          </w:p>
          <w:p w14:paraId="391CEFB6">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烧伤可由热水、热蒸汽、火焰、电流、激光、放射线，以及酸、碱、磷等因子引起。通常所称的狭义烧伤，是指单纯由高温所造成的热烧伤，在临床上常见。其他因子所致的烧伤则冠以病因称之，如电烧伤、化学烧伤等。 </w:t>
            </w:r>
          </w:p>
          <w:p w14:paraId="15E9474A">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
                <w:bCs w:val="0"/>
                <w:sz w:val="24"/>
                <w:szCs w:val="24"/>
              </w:rPr>
            </w:pPr>
            <w:r>
              <w:rPr>
                <w:rFonts w:hint="default" w:ascii="Times New Roman" w:hAnsi="宋体"/>
                <w:b/>
                <w:bCs w:val="0"/>
                <w:sz w:val="24"/>
                <w:szCs w:val="24"/>
                <w:lang w:val="en-US" w:eastAsia="zh-CN"/>
              </w:rPr>
              <w:t xml:space="preserve">二、病理生理 </w:t>
            </w:r>
          </w:p>
          <w:p w14:paraId="699D3CA8">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根据烧伤后的病理生理学反应及临床特点，烧伤可分为：急性体液渗出期、感染期、恢复期。 </w:t>
            </w:r>
          </w:p>
          <w:p w14:paraId="2672BDBD">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Cs/>
                <w:sz w:val="24"/>
                <w:szCs w:val="24"/>
              </w:rPr>
            </w:pPr>
            <w:r>
              <w:rPr>
                <w:rFonts w:hint="default" w:ascii="Times New Roman" w:hAnsi="宋体"/>
                <w:b/>
                <w:bCs w:val="0"/>
                <w:sz w:val="24"/>
                <w:szCs w:val="24"/>
                <w:lang w:val="en-US" w:eastAsia="zh-CN"/>
              </w:rPr>
              <w:t xml:space="preserve">1. </w:t>
            </w:r>
            <w:r>
              <w:rPr>
                <w:rFonts w:hint="eastAsia" w:ascii="Times New Roman" w:hAnsi="宋体"/>
                <w:b/>
                <w:bCs w:val="0"/>
                <w:sz w:val="24"/>
                <w:szCs w:val="24"/>
                <w:lang w:val="en-US" w:eastAsia="zh-CN"/>
              </w:rPr>
              <w:t>急性体液渗出期</w:t>
            </w:r>
            <w:r>
              <w:rPr>
                <w:rFonts w:hint="eastAsia" w:ascii="Times New Roman" w:hAnsi="宋体"/>
                <w:bCs/>
                <w:sz w:val="24"/>
                <w:szCs w:val="24"/>
                <w:lang w:val="en-US" w:eastAsia="zh-CN"/>
              </w:rPr>
              <w:t xml:space="preserve"> 组织烧伤后的立即反应是体液渗出</w:t>
            </w:r>
            <w:r>
              <w:rPr>
                <w:rFonts w:hint="default" w:ascii="Times New Roman" w:hAnsi="宋体"/>
                <w:bCs/>
                <w:sz w:val="24"/>
                <w:szCs w:val="24"/>
                <w:lang w:val="en-US" w:eastAsia="zh-CN"/>
              </w:rPr>
              <w:t xml:space="preserve">，一般要持续 36 ～ 48 小时。伤后 2 ～ 3 小时最快，8 小时达到高峰。烧伤面积大而深者，由于体液的大量渗出和其他血流动力学的变化，可急剧发生休克。 </w:t>
            </w:r>
          </w:p>
          <w:p w14:paraId="081C0D50">
            <w:pPr>
              <w:keepNext w:val="0"/>
              <w:keepLines w:val="0"/>
              <w:widowControl/>
              <w:suppressLineNumbers w:val="0"/>
              <w:spacing w:before="0" w:beforeAutospacing="0" w:after="0" w:afterAutospacing="0" w:line="360" w:lineRule="auto"/>
              <w:ind w:left="0" w:right="0" w:firstLine="482" w:firstLineChars="200"/>
              <w:jc w:val="both"/>
              <w:rPr>
                <w:rFonts w:hint="default" w:ascii="Times New Roman" w:hAnsi="宋体"/>
                <w:bCs/>
                <w:sz w:val="24"/>
                <w:szCs w:val="24"/>
                <w:lang w:val="en-US" w:eastAsia="zh-CN"/>
              </w:rPr>
            </w:pPr>
            <w:r>
              <w:rPr>
                <w:rFonts w:hint="default" w:ascii="Times New Roman" w:hAnsi="宋体"/>
                <w:b/>
                <w:bCs w:val="0"/>
                <w:sz w:val="24"/>
                <w:szCs w:val="24"/>
                <w:lang w:val="en-US" w:eastAsia="zh-CN"/>
              </w:rPr>
              <w:t>2. 感染期</w:t>
            </w:r>
            <w:r>
              <w:rPr>
                <w:rFonts w:hint="default" w:ascii="Times New Roman" w:hAnsi="宋体"/>
                <w:bCs/>
                <w:sz w:val="24"/>
                <w:szCs w:val="24"/>
                <w:lang w:val="en-US" w:eastAsia="zh-CN"/>
              </w:rPr>
              <w:t xml:space="preserve"> 浅度烧伤早期若创面处理不当，可出现创面周围炎症。严重烧伤易至全身性感染。 </w:t>
            </w:r>
          </w:p>
          <w:p w14:paraId="7503869A">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Cs/>
                <w:sz w:val="24"/>
                <w:szCs w:val="24"/>
              </w:rPr>
            </w:pPr>
            <w:r>
              <w:rPr>
                <w:rFonts w:hint="default" w:ascii="Times New Roman" w:hAnsi="宋体"/>
                <w:b/>
                <w:bCs w:val="0"/>
                <w:sz w:val="24"/>
                <w:szCs w:val="24"/>
                <w:lang w:val="en-US" w:eastAsia="zh-CN"/>
              </w:rPr>
              <w:t xml:space="preserve">3. </w:t>
            </w:r>
            <w:r>
              <w:rPr>
                <w:rFonts w:hint="eastAsia" w:ascii="Times New Roman" w:hAnsi="宋体"/>
                <w:b/>
                <w:bCs w:val="0"/>
                <w:sz w:val="24"/>
                <w:szCs w:val="24"/>
                <w:lang w:val="en-US" w:eastAsia="zh-CN"/>
              </w:rPr>
              <w:t>修复期</w:t>
            </w:r>
            <w:r>
              <w:rPr>
                <w:rFonts w:hint="eastAsia" w:ascii="Times New Roman" w:hAnsi="宋体"/>
                <w:bCs/>
                <w:sz w:val="24"/>
                <w:szCs w:val="24"/>
                <w:lang w:val="en-US" w:eastAsia="zh-CN"/>
              </w:rPr>
              <w:t xml:space="preserve"> 组织烧伤后，</w:t>
            </w:r>
            <w:r>
              <w:rPr>
                <w:rFonts w:hint="default" w:ascii="Times New Roman" w:hAnsi="宋体"/>
                <w:bCs/>
                <w:sz w:val="24"/>
                <w:szCs w:val="24"/>
                <w:lang w:val="en-US" w:eastAsia="zh-CN"/>
              </w:rPr>
              <w:t xml:space="preserve">炎症反应的同时，组织修复也已开始。 </w:t>
            </w:r>
          </w:p>
          <w:p w14:paraId="36B9E23D">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
                <w:bCs w:val="0"/>
                <w:sz w:val="24"/>
                <w:szCs w:val="24"/>
              </w:rPr>
            </w:pPr>
            <w:r>
              <w:rPr>
                <w:rFonts w:hint="eastAsia" w:ascii="Times New Roman" w:hAnsi="宋体"/>
                <w:b/>
                <w:bCs w:val="0"/>
                <w:sz w:val="24"/>
                <w:szCs w:val="24"/>
                <w:lang w:val="en-US" w:eastAsia="zh-CN"/>
              </w:rPr>
              <w:t xml:space="preserve">三、烧伤分类 </w:t>
            </w:r>
          </w:p>
          <w:p w14:paraId="20467372">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
                <w:bCs w:val="0"/>
                <w:sz w:val="24"/>
                <w:szCs w:val="24"/>
              </w:rPr>
            </w:pPr>
            <w:r>
              <w:rPr>
                <w:rFonts w:hint="eastAsia" w:ascii="Times New Roman" w:hAnsi="宋体"/>
                <w:b/>
                <w:bCs w:val="0"/>
                <w:sz w:val="24"/>
                <w:szCs w:val="24"/>
                <w:lang w:val="en-US" w:eastAsia="zh-CN"/>
              </w:rPr>
              <w:t xml:space="preserve">（一）烧伤的面积估计 </w:t>
            </w:r>
          </w:p>
          <w:p w14:paraId="19BA4B42">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我国统一使用的烧伤面积计算方法有新九分法和手掌法。 </w:t>
            </w:r>
          </w:p>
          <w:p w14:paraId="58338C1E">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Cs/>
                <w:sz w:val="24"/>
                <w:szCs w:val="24"/>
              </w:rPr>
            </w:pPr>
            <w:r>
              <w:rPr>
                <w:rFonts w:hint="default" w:ascii="Times New Roman" w:hAnsi="宋体"/>
                <w:b/>
                <w:bCs w:val="0"/>
                <w:sz w:val="24"/>
                <w:szCs w:val="24"/>
                <w:lang w:val="en-US" w:eastAsia="zh-CN"/>
              </w:rPr>
              <w:t>1. 中国新九分法</w:t>
            </w:r>
            <w:r>
              <w:rPr>
                <w:rFonts w:hint="default" w:ascii="Times New Roman" w:hAnsi="宋体"/>
                <w:bCs/>
                <w:sz w:val="24"/>
                <w:szCs w:val="24"/>
                <w:lang w:val="en-US" w:eastAsia="zh-CN"/>
              </w:rPr>
              <w:t xml:space="preserve"> </w:t>
            </w:r>
          </w:p>
          <w:p w14:paraId="0B27B7A9">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中国新九法，即将全身体表面积划分为若干9%的倍数来计算。</w:t>
            </w:r>
          </w:p>
          <w:p w14:paraId="723A8695">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（1）成人体表面积共为11×9%＋1%＝100%。</w:t>
            </w:r>
          </w:p>
          <w:p w14:paraId="34C746E1">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①头颈部为9%（1个9%，其中头部3%，面部3%，颈部3%</w:t>
            </w:r>
            <w:r>
              <w:rPr>
                <w:rFonts w:hint="eastAsia" w:ascii="Times New Roman" w:hAnsi="宋体"/>
                <w:bCs/>
                <w:sz w:val="24"/>
                <w:szCs w:val="24"/>
                <w:lang w:val="en-US" w:eastAsia="zh-CN"/>
              </w:rPr>
              <w:t>）</w:t>
            </w:r>
            <w:r>
              <w:rPr>
                <w:rFonts w:hint="default" w:ascii="Times New Roman" w:hAnsi="宋体"/>
                <w:bCs/>
                <w:sz w:val="24"/>
                <w:szCs w:val="24"/>
                <w:lang w:val="en-US" w:eastAsia="zh-CN"/>
              </w:rPr>
              <w:t>。</w:t>
            </w:r>
          </w:p>
          <w:p w14:paraId="0264E250">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②双上肢为18%（2个9%，其中双手5%，双前臂6%，双上臂7%</w:t>
            </w:r>
            <w:r>
              <w:rPr>
                <w:rFonts w:hint="eastAsia" w:ascii="Times New Roman" w:hAnsi="宋体"/>
                <w:bCs/>
                <w:sz w:val="24"/>
                <w:szCs w:val="24"/>
                <w:lang w:val="en-US" w:eastAsia="zh-CN"/>
              </w:rPr>
              <w:t>）</w:t>
            </w:r>
          </w:p>
          <w:p w14:paraId="57819CA8">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③躯干为27%（3个9%，其中前躯干13%，后躯干13%，会阴1%</w:t>
            </w:r>
            <w:r>
              <w:rPr>
                <w:rFonts w:hint="eastAsia" w:ascii="Times New Roman" w:hAnsi="宋体"/>
                <w:bCs/>
                <w:sz w:val="24"/>
                <w:szCs w:val="24"/>
                <w:lang w:val="en-US" w:eastAsia="zh-CN"/>
              </w:rPr>
              <w:t>）</w:t>
            </w:r>
          </w:p>
          <w:p w14:paraId="417F8DE0">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④双下肢（含臀部</w:t>
            </w:r>
            <w:r>
              <w:rPr>
                <w:rFonts w:hint="eastAsia" w:ascii="Times New Roman" w:hAnsi="宋体"/>
                <w:bCs/>
                <w:sz w:val="24"/>
                <w:szCs w:val="24"/>
                <w:lang w:val="en-US" w:eastAsia="zh-CN"/>
              </w:rPr>
              <w:t>）</w:t>
            </w:r>
            <w:r>
              <w:rPr>
                <w:rFonts w:hint="default" w:ascii="Times New Roman" w:hAnsi="宋体"/>
                <w:bCs/>
                <w:sz w:val="24"/>
                <w:szCs w:val="24"/>
                <w:lang w:val="en-US" w:eastAsia="zh-CN"/>
              </w:rPr>
              <w:t>为46%（5个9%＋1%</w:t>
            </w:r>
            <w:r>
              <w:rPr>
                <w:rFonts w:hint="eastAsia" w:ascii="Times New Roman" w:hAnsi="宋体"/>
                <w:bCs/>
                <w:sz w:val="24"/>
                <w:szCs w:val="24"/>
                <w:lang w:val="en-US" w:eastAsia="zh-CN"/>
              </w:rPr>
              <w:t>）</w:t>
            </w:r>
            <w:r>
              <w:rPr>
                <w:rFonts w:hint="default" w:ascii="Times New Roman" w:hAnsi="宋体"/>
                <w:bCs/>
                <w:sz w:val="24"/>
                <w:szCs w:val="24"/>
                <w:lang w:val="en-US" w:eastAsia="zh-CN"/>
              </w:rPr>
              <w:t>，其中双足（男7%</w:t>
            </w:r>
            <w:r>
              <w:rPr>
                <w:rFonts w:hint="eastAsia" w:ascii="Times New Roman" w:hAnsi="宋体"/>
                <w:bCs/>
                <w:sz w:val="24"/>
                <w:szCs w:val="24"/>
                <w:lang w:val="en-US" w:eastAsia="zh-CN"/>
              </w:rPr>
              <w:t>）</w:t>
            </w:r>
            <w:r>
              <w:rPr>
                <w:rFonts w:hint="default" w:ascii="Times New Roman" w:hAnsi="宋体"/>
                <w:bCs/>
                <w:sz w:val="24"/>
                <w:szCs w:val="24"/>
                <w:lang w:val="en-US" w:eastAsia="zh-CN"/>
              </w:rPr>
              <w:t>（女6%</w:t>
            </w:r>
            <w:r>
              <w:rPr>
                <w:rFonts w:hint="eastAsia" w:ascii="Times New Roman" w:hAnsi="宋体"/>
                <w:bCs/>
                <w:sz w:val="24"/>
                <w:szCs w:val="24"/>
                <w:lang w:val="en-US" w:eastAsia="zh-CN"/>
              </w:rPr>
              <w:t>）</w:t>
            </w:r>
            <w:r>
              <w:rPr>
                <w:rFonts w:hint="default" w:ascii="Times New Roman" w:hAnsi="宋体"/>
                <w:bCs/>
                <w:sz w:val="24"/>
                <w:szCs w:val="24"/>
                <w:lang w:val="en-US" w:eastAsia="zh-CN"/>
              </w:rPr>
              <w:t>，双小腿13%，双大腿21%，臀部（男5%）（女6%</w:t>
            </w:r>
            <w:r>
              <w:rPr>
                <w:rFonts w:hint="eastAsia" w:ascii="Times New Roman" w:hAnsi="宋体"/>
                <w:bCs/>
                <w:sz w:val="24"/>
                <w:szCs w:val="24"/>
                <w:lang w:val="en-US" w:eastAsia="zh-CN"/>
              </w:rPr>
              <w:t>）</w:t>
            </w:r>
            <w:r>
              <w:rPr>
                <w:rFonts w:hint="default" w:ascii="Times New Roman" w:hAnsi="宋体"/>
                <w:bCs/>
                <w:sz w:val="24"/>
                <w:szCs w:val="24"/>
                <w:lang w:val="en-US" w:eastAsia="zh-CN"/>
              </w:rPr>
              <w:t>（图13-1）。</w:t>
            </w:r>
          </w:p>
          <w:p w14:paraId="6261D015">
            <w:pPr>
              <w:keepNext w:val="0"/>
              <w:keepLines w:val="0"/>
              <w:widowControl/>
              <w:suppressLineNumbers w:val="0"/>
              <w:spacing w:before="0" w:beforeAutospacing="0" w:after="0" w:afterAutospacing="0" w:line="360" w:lineRule="auto"/>
              <w:ind w:left="0" w:right="0"/>
              <w:jc w:val="both"/>
              <w:rPr>
                <w:rFonts w:hint="default" w:ascii="Times New Roman" w:hAnsi="宋体"/>
                <w:bCs/>
                <w:sz w:val="24"/>
                <w:szCs w:val="24"/>
                <w:lang w:val="en-US" w:eastAsia="zh-CN"/>
              </w:rPr>
            </w:pPr>
            <w:r>
              <w:rPr>
                <w:rFonts w:hint="default" w:ascii="Times New Roman" w:hAnsi="宋体"/>
                <w:bCs/>
                <w:sz w:val="24"/>
                <w:szCs w:val="24"/>
                <w:lang w:val="en-US" w:eastAsia="zh-CN"/>
              </w:rPr>
              <w:drawing>
                <wp:inline distT="0" distB="0" distL="114300" distR="114300">
                  <wp:extent cx="3383280" cy="2849880"/>
                  <wp:effectExtent l="0" t="0" r="0" b="0"/>
                  <wp:docPr id="9" name="图片 9" descr="1712375634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12375634441"/>
                          <pic:cNvPicPr>
                            <a:picLocks noChangeAspect="1"/>
                          </pic:cNvPicPr>
                        </pic:nvPicPr>
                        <pic:blipFill>
                          <a:blip r:embed="rId6"/>
                          <a:stretch>
                            <a:fillRect/>
                          </a:stretch>
                        </pic:blipFill>
                        <pic:spPr>
                          <a:xfrm>
                            <a:off x="0" y="0"/>
                            <a:ext cx="3383280" cy="2849880"/>
                          </a:xfrm>
                          <a:prstGeom prst="rect">
                            <a:avLst/>
                          </a:prstGeom>
                        </pic:spPr>
                      </pic:pic>
                    </a:graphicData>
                  </a:graphic>
                </wp:inline>
              </w:drawing>
            </w:r>
          </w:p>
          <w:p w14:paraId="2597E506">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eastAsia" w:ascii="Times New Roman" w:hAnsi="宋体"/>
                <w:bCs/>
                <w:sz w:val="24"/>
                <w:szCs w:val="24"/>
                <w:lang w:val="en-US" w:eastAsia="zh-CN"/>
              </w:rPr>
              <w:t>（</w:t>
            </w:r>
            <w:r>
              <w:rPr>
                <w:rFonts w:hint="default" w:ascii="Times New Roman" w:hAnsi="宋体"/>
                <w:bCs/>
                <w:sz w:val="24"/>
                <w:szCs w:val="24"/>
                <w:lang w:val="en-US" w:eastAsia="zh-CN"/>
              </w:rPr>
              <w:t>2）儿童体表面积的计算与成人略有区别，因儿童头部相对较大而四肢较小，故不同年龄的儿童可按下列公式计算。小儿头部面积为［9 ＋</w:t>
            </w:r>
            <w:r>
              <w:rPr>
                <w:rFonts w:hint="eastAsia" w:ascii="Times New Roman" w:hAnsi="宋体"/>
                <w:bCs/>
                <w:sz w:val="24"/>
                <w:szCs w:val="24"/>
                <w:lang w:val="en-US" w:eastAsia="zh-CN"/>
              </w:rPr>
              <w:t>（</w:t>
            </w:r>
            <w:r>
              <w:rPr>
                <w:rFonts w:hint="default" w:ascii="Times New Roman" w:hAnsi="宋体"/>
                <w:bCs/>
                <w:sz w:val="24"/>
                <w:szCs w:val="24"/>
                <w:lang w:val="en-US" w:eastAsia="zh-CN"/>
              </w:rPr>
              <w:t>12</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年龄</w:t>
            </w:r>
            <w:r>
              <w:rPr>
                <w:rFonts w:hint="eastAsia" w:ascii="Times New Roman" w:hAnsi="宋体"/>
                <w:bCs/>
                <w:sz w:val="24"/>
                <w:szCs w:val="24"/>
                <w:lang w:val="en-US" w:eastAsia="zh-CN"/>
              </w:rPr>
              <w:t>）</w:t>
            </w:r>
            <w:r>
              <w:rPr>
                <w:rFonts w:hint="default" w:ascii="Times New Roman" w:hAnsi="宋体"/>
                <w:bCs/>
                <w:sz w:val="24"/>
                <w:szCs w:val="24"/>
                <w:lang w:val="en-US" w:eastAsia="zh-CN"/>
              </w:rPr>
              <w:t>］%，小儿双下肢面积为［46-</w:t>
            </w:r>
            <w:r>
              <w:rPr>
                <w:rFonts w:hint="eastAsia" w:ascii="Times New Roman" w:hAnsi="宋体"/>
                <w:bCs/>
                <w:sz w:val="24"/>
                <w:szCs w:val="24"/>
                <w:lang w:val="en-US" w:eastAsia="zh-CN"/>
              </w:rPr>
              <w:t>（</w:t>
            </w:r>
            <w:r>
              <w:rPr>
                <w:rFonts w:hint="default" w:ascii="Times New Roman" w:hAnsi="宋体"/>
                <w:bCs/>
                <w:sz w:val="24"/>
                <w:szCs w:val="24"/>
                <w:lang w:val="en-US" w:eastAsia="zh-CN"/>
              </w:rPr>
              <w:t>12- 年龄</w:t>
            </w:r>
            <w:r>
              <w:rPr>
                <w:rFonts w:hint="eastAsia" w:ascii="Times New Roman" w:hAnsi="宋体"/>
                <w:bCs/>
                <w:sz w:val="24"/>
                <w:szCs w:val="24"/>
                <w:lang w:val="en-US" w:eastAsia="zh-CN"/>
              </w:rPr>
              <w:t>）</w:t>
            </w:r>
            <w:r>
              <w:rPr>
                <w:rFonts w:hint="default" w:ascii="Times New Roman" w:hAnsi="宋体"/>
                <w:bCs/>
                <w:sz w:val="24"/>
                <w:szCs w:val="24"/>
                <w:lang w:val="en-US" w:eastAsia="zh-CN"/>
              </w:rPr>
              <w:t>］%，其余与成年人相同（表 13-1）。</w:t>
            </w:r>
          </w:p>
          <w:p w14:paraId="6AF1A29B">
            <w:pPr>
              <w:keepNext w:val="0"/>
              <w:keepLines w:val="0"/>
              <w:widowControl/>
              <w:suppressLineNumbers w:val="0"/>
              <w:spacing w:before="0" w:beforeAutospacing="0" w:after="0" w:afterAutospacing="0" w:line="360" w:lineRule="auto"/>
              <w:ind w:left="0" w:right="0"/>
              <w:jc w:val="both"/>
              <w:rPr>
                <w:rFonts w:hint="default" w:ascii="Times New Roman" w:hAnsi="宋体"/>
                <w:bCs/>
                <w:sz w:val="24"/>
                <w:szCs w:val="24"/>
                <w:lang w:val="en-US" w:eastAsia="zh-CN"/>
              </w:rPr>
            </w:pPr>
            <w:r>
              <w:rPr>
                <w:rFonts w:hint="default" w:ascii="Times New Roman" w:hAnsi="宋体"/>
                <w:bCs/>
                <w:sz w:val="24"/>
                <w:szCs w:val="24"/>
                <w:lang w:val="en-US" w:eastAsia="zh-CN"/>
              </w:rPr>
              <w:drawing>
                <wp:inline distT="0" distB="0" distL="114300" distR="114300">
                  <wp:extent cx="3547110" cy="690880"/>
                  <wp:effectExtent l="0" t="0" r="3810" b="10160"/>
                  <wp:docPr id="10" name="图片 10" descr="1712375657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12375657297"/>
                          <pic:cNvPicPr>
                            <a:picLocks noChangeAspect="1"/>
                          </pic:cNvPicPr>
                        </pic:nvPicPr>
                        <pic:blipFill>
                          <a:blip r:embed="rId7"/>
                          <a:stretch>
                            <a:fillRect/>
                          </a:stretch>
                        </pic:blipFill>
                        <pic:spPr>
                          <a:xfrm>
                            <a:off x="0" y="0"/>
                            <a:ext cx="3547110" cy="690880"/>
                          </a:xfrm>
                          <a:prstGeom prst="rect">
                            <a:avLst/>
                          </a:prstGeom>
                        </pic:spPr>
                      </pic:pic>
                    </a:graphicData>
                  </a:graphic>
                </wp:inline>
              </w:drawing>
            </w:r>
          </w:p>
          <w:p w14:paraId="2E8376A6">
            <w:pPr>
              <w:keepNext w:val="0"/>
              <w:keepLines w:val="0"/>
              <w:widowControl/>
              <w:suppressLineNumbers w:val="0"/>
              <w:spacing w:before="0" w:beforeAutospacing="0" w:after="0" w:afterAutospacing="0" w:line="360" w:lineRule="auto"/>
              <w:ind w:left="0" w:right="0"/>
              <w:jc w:val="both"/>
              <w:rPr>
                <w:rFonts w:hint="default" w:ascii="Times New Roman" w:hAnsi="宋体"/>
                <w:bCs/>
                <w:sz w:val="24"/>
                <w:szCs w:val="24"/>
                <w:lang w:val="en-US" w:eastAsia="zh-CN"/>
              </w:rPr>
            </w:pPr>
            <w:r>
              <w:rPr>
                <w:rFonts w:hint="default" w:ascii="Times New Roman" w:hAnsi="宋体"/>
                <w:bCs/>
                <w:sz w:val="24"/>
                <w:szCs w:val="24"/>
                <w:lang w:val="en-US" w:eastAsia="zh-CN"/>
              </w:rPr>
              <w:drawing>
                <wp:inline distT="0" distB="0" distL="114300" distR="114300">
                  <wp:extent cx="3548380" cy="1649730"/>
                  <wp:effectExtent l="0" t="0" r="2540" b="11430"/>
                  <wp:docPr id="11" name="图片 11" descr="1712375681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12375681214"/>
                          <pic:cNvPicPr>
                            <a:picLocks noChangeAspect="1"/>
                          </pic:cNvPicPr>
                        </pic:nvPicPr>
                        <pic:blipFill>
                          <a:blip r:embed="rId8"/>
                          <a:stretch>
                            <a:fillRect/>
                          </a:stretch>
                        </pic:blipFill>
                        <pic:spPr>
                          <a:xfrm>
                            <a:off x="0" y="0"/>
                            <a:ext cx="3548380" cy="1649730"/>
                          </a:xfrm>
                          <a:prstGeom prst="rect">
                            <a:avLst/>
                          </a:prstGeom>
                        </pic:spPr>
                      </pic:pic>
                    </a:graphicData>
                  </a:graphic>
                </wp:inline>
              </w:drawing>
            </w:r>
          </w:p>
          <w:p w14:paraId="6B927A7F">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2. </w:t>
            </w:r>
            <w:r>
              <w:rPr>
                <w:rFonts w:hint="eastAsia" w:ascii="Times New Roman" w:hAnsi="宋体"/>
                <w:bCs/>
                <w:sz w:val="24"/>
                <w:szCs w:val="24"/>
                <w:lang w:val="en-US" w:eastAsia="zh-CN"/>
              </w:rPr>
              <w:t>手掌法 如伤面不规则，</w:t>
            </w:r>
            <w:r>
              <w:rPr>
                <w:rFonts w:hint="default" w:ascii="Times New Roman" w:hAnsi="宋体"/>
                <w:bCs/>
                <w:sz w:val="24"/>
                <w:szCs w:val="24"/>
                <w:lang w:val="en-US" w:eastAsia="zh-CN"/>
              </w:rPr>
              <w:t xml:space="preserve">可用手掌法计算，患者自己的手掌﹙五指并拢﹚相当于体表面积的 1%，以此可以计算烧伤面积。 </w:t>
            </w:r>
          </w:p>
          <w:p w14:paraId="66BE12C2">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Cs/>
                <w:sz w:val="24"/>
                <w:szCs w:val="24"/>
              </w:rPr>
            </w:pPr>
            <w:r>
              <w:rPr>
                <w:rFonts w:hint="eastAsia" w:ascii="Times New Roman" w:hAnsi="宋体"/>
                <w:b/>
                <w:bCs w:val="0"/>
                <w:sz w:val="24"/>
                <w:szCs w:val="24"/>
                <w:lang w:val="en-US" w:eastAsia="zh-CN"/>
              </w:rPr>
              <w:t xml:space="preserve">（二）按烧伤的深度分类 </w:t>
            </w:r>
          </w:p>
          <w:p w14:paraId="52C5EF0B">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目前国际上惯用的是３度４分法，即Ⅰ度、浅Ⅱ度、深Ⅱ度和Ⅲ度（图 13-2）。</w:t>
            </w:r>
          </w:p>
          <w:p w14:paraId="1507910B">
            <w:pPr>
              <w:keepNext w:val="0"/>
              <w:keepLines w:val="0"/>
              <w:widowControl/>
              <w:suppressLineNumbers w:val="0"/>
              <w:spacing w:before="0" w:beforeAutospacing="0" w:after="0" w:afterAutospacing="0" w:line="360" w:lineRule="auto"/>
              <w:ind w:left="0" w:right="0"/>
              <w:jc w:val="both"/>
              <w:rPr>
                <w:rFonts w:hint="default" w:ascii="Times New Roman" w:hAnsi="宋体"/>
                <w:bCs/>
                <w:sz w:val="24"/>
                <w:szCs w:val="24"/>
                <w:lang w:val="en-US" w:eastAsia="zh-CN"/>
              </w:rPr>
            </w:pPr>
            <w:r>
              <w:rPr>
                <w:rFonts w:hint="default" w:ascii="Times New Roman" w:hAnsi="宋体"/>
                <w:bCs/>
                <w:sz w:val="24"/>
                <w:szCs w:val="24"/>
                <w:lang w:val="en-US" w:eastAsia="zh-CN"/>
              </w:rPr>
              <w:drawing>
                <wp:inline distT="0" distB="0" distL="114300" distR="114300">
                  <wp:extent cx="3549650" cy="3398520"/>
                  <wp:effectExtent l="0" t="0" r="1270" b="0"/>
                  <wp:docPr id="12" name="图片 12" descr="1712375708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712375708282"/>
                          <pic:cNvPicPr>
                            <a:picLocks noChangeAspect="1"/>
                          </pic:cNvPicPr>
                        </pic:nvPicPr>
                        <pic:blipFill>
                          <a:blip r:embed="rId9"/>
                          <a:stretch>
                            <a:fillRect/>
                          </a:stretch>
                        </pic:blipFill>
                        <pic:spPr>
                          <a:xfrm>
                            <a:off x="0" y="0"/>
                            <a:ext cx="3549650" cy="3398520"/>
                          </a:xfrm>
                          <a:prstGeom prst="rect">
                            <a:avLst/>
                          </a:prstGeom>
                        </pic:spPr>
                      </pic:pic>
                    </a:graphicData>
                  </a:graphic>
                </wp:inline>
              </w:drawing>
            </w:r>
          </w:p>
          <w:p w14:paraId="10A94A95">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eastAsia" w:ascii="Times New Roman" w:hAnsi="宋体"/>
                <w:bCs/>
                <w:sz w:val="24"/>
                <w:szCs w:val="24"/>
                <w:lang w:val="en-US" w:eastAsia="zh-CN"/>
              </w:rPr>
              <w:t>（</w:t>
            </w:r>
            <w:r>
              <w:rPr>
                <w:rFonts w:hint="default" w:ascii="Times New Roman" w:hAnsi="宋体"/>
                <w:bCs/>
                <w:sz w:val="24"/>
                <w:szCs w:val="24"/>
                <w:lang w:val="en-US" w:eastAsia="zh-CN"/>
              </w:rPr>
              <w:t xml:space="preserve">1）Ⅰ度烧伤仅损及表皮浅层，不需特殊处理。 </w:t>
            </w:r>
          </w:p>
          <w:p w14:paraId="0D9CA670">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（2）Ⅱ度烧伤（浅Ⅱ度及深Ⅱ度）达到部分真皮，依靠基底层细胞或皮肤附属器上细胞即可自身修复创面。 </w:t>
            </w:r>
          </w:p>
          <w:p w14:paraId="38E08C26">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（3）Ⅲ度烧伤达到皮肤全层，包括深及皮肤以下各种组织、器官的烧伤，必须采用植皮等手术，创面才可愈合。 </w:t>
            </w:r>
          </w:p>
          <w:p w14:paraId="43527C3B">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
                <w:bCs w:val="0"/>
                <w:sz w:val="24"/>
                <w:szCs w:val="24"/>
              </w:rPr>
            </w:pPr>
            <w:r>
              <w:rPr>
                <w:rFonts w:hint="eastAsia" w:ascii="Times New Roman" w:hAnsi="宋体"/>
                <w:b/>
                <w:bCs w:val="0"/>
                <w:sz w:val="24"/>
                <w:szCs w:val="24"/>
                <w:lang w:val="en-US" w:eastAsia="zh-CN"/>
              </w:rPr>
              <w:t xml:space="preserve">（三）按烧伤的严重程度分类 </w:t>
            </w:r>
          </w:p>
          <w:p w14:paraId="46002763">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目前国际上无通用的分类标准，国内对烧伤程度的分类依据烧伤面积和烧伤深度进行综合评估。 </w:t>
            </w:r>
          </w:p>
          <w:p w14:paraId="4D07A8ED">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Cs/>
                <w:sz w:val="24"/>
                <w:szCs w:val="24"/>
              </w:rPr>
            </w:pPr>
            <w:r>
              <w:rPr>
                <w:rFonts w:hint="default" w:ascii="Times New Roman" w:hAnsi="宋体"/>
                <w:b/>
                <w:bCs w:val="0"/>
                <w:sz w:val="24"/>
                <w:szCs w:val="24"/>
                <w:lang w:val="en-US" w:eastAsia="zh-CN"/>
              </w:rPr>
              <w:t xml:space="preserve">1. </w:t>
            </w:r>
            <w:r>
              <w:rPr>
                <w:rFonts w:hint="eastAsia" w:ascii="Times New Roman" w:hAnsi="宋体"/>
                <w:b/>
                <w:bCs w:val="0"/>
                <w:sz w:val="24"/>
                <w:szCs w:val="24"/>
                <w:lang w:val="en-US" w:eastAsia="zh-CN"/>
              </w:rPr>
              <w:t>成人烧伤严重程度分类</w:t>
            </w:r>
            <w:r>
              <w:rPr>
                <w:rFonts w:hint="eastAsia" w:ascii="Times New Roman" w:hAnsi="宋体"/>
                <w:bCs/>
                <w:sz w:val="24"/>
                <w:szCs w:val="24"/>
                <w:lang w:val="en-US" w:eastAsia="zh-CN"/>
              </w:rPr>
              <w:t xml:space="preserve"> </w:t>
            </w:r>
          </w:p>
          <w:p w14:paraId="0A95B36C">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（1）轻度烧伤：总面积为 9% 以下的Ⅱ度烧伤。 </w:t>
            </w:r>
          </w:p>
          <w:p w14:paraId="4FE5AB5D">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（2）中度烧伤：总面积为 10%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29% 或Ⅲ度烧伤面积为 10% 以下的烧伤。 </w:t>
            </w:r>
          </w:p>
          <w:p w14:paraId="6E5E9273">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（3）重度烧伤：总面积为 30%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49% 之间或Ⅲ度烧伤面积为 10%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19%，或总面积不超过 30%，但有下列情况之一者：全身情况严重或有休克者，有复合伤或合并伤</w:t>
            </w:r>
            <w:r>
              <w:rPr>
                <w:rFonts w:hint="eastAsia" w:ascii="Times New Roman" w:hAnsi="宋体"/>
                <w:bCs/>
                <w:sz w:val="24"/>
                <w:szCs w:val="24"/>
                <w:lang w:val="en-US" w:eastAsia="zh-CN"/>
              </w:rPr>
              <w:t>﹙</w:t>
            </w:r>
            <w:r>
              <w:rPr>
                <w:rFonts w:hint="default" w:ascii="Times New Roman" w:hAnsi="宋体"/>
                <w:bCs/>
                <w:sz w:val="24"/>
                <w:szCs w:val="24"/>
                <w:lang w:val="en-US" w:eastAsia="zh-CN"/>
              </w:rPr>
              <w:t>如严重创伤、化学中毒等</w:t>
            </w:r>
            <w:r>
              <w:rPr>
                <w:rFonts w:hint="eastAsia" w:ascii="Times New Roman" w:hAnsi="宋体"/>
                <w:bCs/>
                <w:sz w:val="24"/>
                <w:szCs w:val="24"/>
                <w:lang w:val="en-US" w:eastAsia="zh-CN"/>
              </w:rPr>
              <w:t>﹚</w:t>
            </w:r>
            <w:r>
              <w:rPr>
                <w:rFonts w:hint="default" w:ascii="Times New Roman" w:hAnsi="宋体"/>
                <w:bCs/>
                <w:sz w:val="24"/>
                <w:szCs w:val="24"/>
                <w:lang w:val="en-US" w:eastAsia="zh-CN"/>
              </w:rPr>
              <w:t xml:space="preserve">，有中、重度吸入性损伤者。 </w:t>
            </w:r>
          </w:p>
          <w:p w14:paraId="0A52F325">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（4）特重度烧伤：总面积在 50% 以上或Ⅲ度烧伤面积为 20% 以上者。 </w:t>
            </w:r>
          </w:p>
          <w:p w14:paraId="328C97C6">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Cs/>
                <w:sz w:val="24"/>
                <w:szCs w:val="24"/>
              </w:rPr>
            </w:pPr>
            <w:r>
              <w:rPr>
                <w:rFonts w:hint="default" w:ascii="Times New Roman" w:hAnsi="宋体"/>
                <w:b/>
                <w:bCs w:val="0"/>
                <w:sz w:val="24"/>
                <w:szCs w:val="24"/>
                <w:lang w:val="en-US" w:eastAsia="zh-CN"/>
              </w:rPr>
              <w:t>2. 小儿烧伤严重程度分类</w:t>
            </w:r>
            <w:r>
              <w:rPr>
                <w:rFonts w:hint="default" w:ascii="Times New Roman" w:hAnsi="宋体"/>
                <w:bCs/>
                <w:sz w:val="24"/>
                <w:szCs w:val="24"/>
                <w:lang w:val="en-US" w:eastAsia="zh-CN"/>
              </w:rPr>
              <w:t xml:space="preserve"> </w:t>
            </w:r>
          </w:p>
          <w:p w14:paraId="00DDF7A6">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（1）轻度烧伤：总面积为 5% 以下的Ⅱ度烧伤。 </w:t>
            </w:r>
          </w:p>
          <w:p w14:paraId="10584655">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（2）中度烧伤：总面积为 5%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15% 的Ⅱ度烧伤或Ⅲ度烧伤面积为 5% 以下的烧伤。 </w:t>
            </w:r>
          </w:p>
          <w:p w14:paraId="6D7CA84D">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（3）重度烧伤：总面积为 15%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25% 或Ⅲ度烧伤面积为 5%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10% 的烧伤。 </w:t>
            </w:r>
          </w:p>
          <w:p w14:paraId="6F9D2F9C">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（4）特重度烧伤：总面积为 25% 以上或Ⅲ度烧伤面积为 10% 以上者。 </w:t>
            </w:r>
          </w:p>
          <w:p w14:paraId="3F8D408A">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Cs/>
                <w:sz w:val="24"/>
                <w:szCs w:val="24"/>
              </w:rPr>
            </w:pPr>
            <w:r>
              <w:rPr>
                <w:rFonts w:hint="eastAsia" w:ascii="Times New Roman" w:hAnsi="宋体"/>
                <w:b/>
                <w:bCs w:val="0"/>
                <w:sz w:val="24"/>
                <w:szCs w:val="24"/>
                <w:lang w:val="en-US" w:eastAsia="zh-CN"/>
              </w:rPr>
              <w:t>四、临床表现</w:t>
            </w:r>
            <w:r>
              <w:rPr>
                <w:rFonts w:hint="eastAsia" w:ascii="Times New Roman" w:hAnsi="宋体"/>
                <w:bCs/>
                <w:sz w:val="24"/>
                <w:szCs w:val="24"/>
                <w:lang w:val="en-US" w:eastAsia="zh-CN"/>
              </w:rPr>
              <w:t xml:space="preserve"> </w:t>
            </w:r>
          </w:p>
          <w:p w14:paraId="23893ADA">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烧伤的临床表现取决于烧伤的面积和程度，严重烧伤者常可危及生命。 </w:t>
            </w:r>
          </w:p>
          <w:p w14:paraId="4B409BE2">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Cs/>
                <w:sz w:val="24"/>
                <w:szCs w:val="24"/>
              </w:rPr>
            </w:pPr>
            <w:r>
              <w:rPr>
                <w:rFonts w:hint="default" w:ascii="Times New Roman" w:hAnsi="宋体"/>
                <w:b/>
                <w:bCs w:val="0"/>
                <w:sz w:val="24"/>
                <w:szCs w:val="24"/>
                <w:lang w:val="en-US" w:eastAsia="zh-CN"/>
              </w:rPr>
              <w:t>1. Ⅰ度烧伤</w:t>
            </w:r>
            <w:r>
              <w:rPr>
                <w:rFonts w:hint="eastAsia" w:ascii="Times New Roman" w:hAnsi="宋体"/>
                <w:bCs/>
                <w:sz w:val="24"/>
                <w:szCs w:val="24"/>
                <w:lang w:val="en-US" w:eastAsia="zh-CN"/>
              </w:rPr>
              <w:t xml:space="preserve"> 伤及表皮浅层</w:t>
            </w:r>
            <w:r>
              <w:rPr>
                <w:rFonts w:hint="default" w:ascii="Times New Roman" w:hAnsi="宋体"/>
                <w:bCs/>
                <w:sz w:val="24"/>
                <w:szCs w:val="24"/>
                <w:lang w:val="en-US" w:eastAsia="zh-CN"/>
              </w:rPr>
              <w:t xml:space="preserve">，基底层尚存，局部皮肤发红、肿胀、疼痛、有烧灼感无水疱，3 ～ 5 天痊愈。愈后不留瘢痕，可有暂时性色素沉着。 </w:t>
            </w:r>
          </w:p>
          <w:p w14:paraId="6D2B1DF2">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Cs/>
                <w:sz w:val="24"/>
                <w:szCs w:val="24"/>
              </w:rPr>
            </w:pPr>
            <w:r>
              <w:rPr>
                <w:rFonts w:hint="default" w:ascii="Times New Roman" w:hAnsi="宋体"/>
                <w:b/>
                <w:bCs w:val="0"/>
                <w:sz w:val="24"/>
                <w:szCs w:val="24"/>
                <w:lang w:val="en-US" w:eastAsia="zh-CN"/>
              </w:rPr>
              <w:t>2. 浅Ⅱ度烧伤</w:t>
            </w:r>
            <w:r>
              <w:rPr>
                <w:rFonts w:hint="default" w:ascii="Times New Roman" w:hAnsi="宋体"/>
                <w:bCs/>
                <w:sz w:val="24"/>
                <w:szCs w:val="24"/>
                <w:lang w:val="en-US" w:eastAsia="zh-CN"/>
              </w:rPr>
              <w:t xml:space="preserve"> 累及表皮和真皮乳头层，局部红肿渗液较多而形成和大小不等水疱，创面湿润，创底鲜红、水肿、剧痛；若无感染可与 2 周内痊愈，无瘢痕形成，可有暂时性色素沉着。 </w:t>
            </w:r>
          </w:p>
          <w:p w14:paraId="29B90131">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Cs/>
                <w:sz w:val="24"/>
                <w:szCs w:val="24"/>
              </w:rPr>
            </w:pPr>
            <w:r>
              <w:rPr>
                <w:rFonts w:hint="default" w:ascii="Times New Roman" w:hAnsi="宋体"/>
                <w:b/>
                <w:bCs w:val="0"/>
                <w:sz w:val="24"/>
                <w:szCs w:val="24"/>
                <w:lang w:val="en-US" w:eastAsia="zh-CN"/>
              </w:rPr>
              <w:t>3. 深Ⅱ度烧伤</w:t>
            </w:r>
            <w:r>
              <w:rPr>
                <w:rFonts w:hint="default" w:ascii="Times New Roman" w:hAnsi="宋体"/>
                <w:bCs/>
                <w:sz w:val="24"/>
                <w:szCs w:val="24"/>
                <w:lang w:val="en-US" w:eastAsia="zh-CN"/>
              </w:rPr>
              <w:t xml:space="preserve"> 累及真皮网状层，但残留部分真皮和皮肤附件。局部肿胀，白色或棕黄色，水疱较小。感觉迟钝，皮温稍低，疼痛较轻如无感染可与 3 ～ 4 周内愈合，愈后留有瘢痕，但皮肤功能基本保存。 </w:t>
            </w:r>
          </w:p>
          <w:p w14:paraId="060963CD">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Cs/>
                <w:sz w:val="24"/>
                <w:szCs w:val="24"/>
              </w:rPr>
            </w:pPr>
            <w:r>
              <w:rPr>
                <w:rFonts w:hint="default" w:ascii="Times New Roman" w:hAnsi="宋体"/>
                <w:b/>
                <w:bCs w:val="0"/>
                <w:sz w:val="24"/>
                <w:szCs w:val="24"/>
                <w:lang w:val="en-US" w:eastAsia="zh-CN"/>
              </w:rPr>
              <w:t>4. Ⅲ度烧伤</w:t>
            </w:r>
            <w:r>
              <w:rPr>
                <w:rFonts w:hint="default" w:ascii="Times New Roman" w:hAnsi="宋体"/>
                <w:bCs/>
                <w:sz w:val="24"/>
                <w:szCs w:val="24"/>
                <w:lang w:val="en-US" w:eastAsia="zh-CN"/>
              </w:rPr>
              <w:t xml:space="preserve"> 累及皮肤的全层甚至皮下脂肪、肌肉、内脏器官。创面苍白或焦黄炭化，无疼痛，无水疱，感觉消失，质韧似皮革。3 ～ 4 周后焦痂脱落后遗留肉芽组织面，愈后留有瘢痕，皮肤功能丧失，造成畸形。 </w:t>
            </w:r>
          </w:p>
          <w:p w14:paraId="52BE6A6F">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严重烧伤可累及全身各器官组织，出现一系列病理生理过程，如水电解质紊乱、酸</w:t>
            </w:r>
            <w:r>
              <w:rPr>
                <w:rFonts w:hint="eastAsia" w:ascii="Times New Roman" w:hAnsi="宋体"/>
                <w:bCs/>
                <w:sz w:val="24"/>
                <w:szCs w:val="24"/>
                <w:lang w:val="en-US" w:eastAsia="zh-CN"/>
              </w:rPr>
              <w:t>碱平衡失调、休克、</w:t>
            </w:r>
            <w:r>
              <w:rPr>
                <w:rFonts w:hint="default" w:ascii="Times New Roman" w:hAnsi="宋体"/>
                <w:bCs/>
                <w:sz w:val="24"/>
                <w:szCs w:val="24"/>
                <w:lang w:val="en-US" w:eastAsia="zh-CN"/>
              </w:rPr>
              <w:t>DIC、免疫平衡失调，继发感染，心功能不全等。尤其是呼吸功能受损，是死亡的重要原因之一。</w:t>
            </w:r>
          </w:p>
          <w:p w14:paraId="3CFDEF87">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
                <w:bCs w:val="0"/>
                <w:sz w:val="24"/>
                <w:szCs w:val="24"/>
              </w:rPr>
            </w:pPr>
            <w:r>
              <w:rPr>
                <w:rFonts w:hint="eastAsia" w:ascii="Times New Roman" w:hAnsi="宋体"/>
                <w:b/>
                <w:bCs w:val="0"/>
                <w:sz w:val="24"/>
                <w:szCs w:val="24"/>
                <w:lang w:val="en-US" w:eastAsia="zh-CN"/>
              </w:rPr>
              <w:t xml:space="preserve">五、辅助检查 </w:t>
            </w:r>
          </w:p>
          <w:p w14:paraId="39345024">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eastAsia" w:ascii="Times New Roman" w:hAnsi="宋体"/>
                <w:bCs/>
                <w:sz w:val="24"/>
                <w:szCs w:val="24"/>
                <w:lang w:val="en-US" w:eastAsia="zh-CN"/>
              </w:rPr>
              <w:t>血常规查血细胞和血细胞比容，尿常规查尿比重，还需进行血生化，电解质、血气</w:t>
            </w:r>
            <w:r>
              <w:rPr>
                <w:rFonts w:hint="default" w:ascii="Times New Roman" w:hAnsi="宋体"/>
                <w:bCs/>
                <w:sz w:val="24"/>
                <w:szCs w:val="24"/>
                <w:lang w:val="en-US" w:eastAsia="zh-CN"/>
              </w:rPr>
              <w:t xml:space="preserve">分析等检查。 </w:t>
            </w:r>
          </w:p>
          <w:p w14:paraId="4482D95F">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
                <w:bCs w:val="0"/>
                <w:sz w:val="24"/>
                <w:szCs w:val="24"/>
              </w:rPr>
            </w:pPr>
            <w:r>
              <w:rPr>
                <w:rFonts w:hint="default" w:ascii="Times New Roman" w:hAnsi="宋体"/>
                <w:b/>
                <w:bCs w:val="0"/>
                <w:sz w:val="24"/>
                <w:szCs w:val="24"/>
                <w:lang w:val="en-US" w:eastAsia="zh-CN"/>
              </w:rPr>
              <w:t xml:space="preserve">六、治疗 </w:t>
            </w:r>
          </w:p>
          <w:p w14:paraId="1890DF92">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
                <w:bCs w:val="0"/>
                <w:sz w:val="24"/>
                <w:szCs w:val="24"/>
              </w:rPr>
            </w:pPr>
            <w:r>
              <w:rPr>
                <w:rFonts w:hint="eastAsia" w:ascii="Times New Roman" w:hAnsi="宋体"/>
                <w:b/>
                <w:bCs w:val="0"/>
                <w:sz w:val="24"/>
                <w:szCs w:val="24"/>
                <w:lang w:val="en-US" w:eastAsia="zh-CN"/>
              </w:rPr>
              <w:t xml:space="preserve">（一）现场急救 </w:t>
            </w:r>
          </w:p>
          <w:p w14:paraId="2F3DAFA4">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Cs/>
                <w:sz w:val="24"/>
                <w:szCs w:val="24"/>
              </w:rPr>
            </w:pPr>
            <w:r>
              <w:rPr>
                <w:rFonts w:hint="default" w:ascii="Times New Roman" w:hAnsi="宋体"/>
                <w:b/>
                <w:bCs w:val="0"/>
                <w:sz w:val="24"/>
                <w:szCs w:val="24"/>
                <w:lang w:val="en-US" w:eastAsia="zh-CN"/>
              </w:rPr>
              <w:t xml:space="preserve">1. </w:t>
            </w:r>
            <w:r>
              <w:rPr>
                <w:rFonts w:hint="eastAsia" w:ascii="Times New Roman" w:hAnsi="宋体"/>
                <w:b/>
                <w:bCs w:val="0"/>
                <w:sz w:val="24"/>
                <w:szCs w:val="24"/>
                <w:lang w:val="en-US" w:eastAsia="zh-CN"/>
              </w:rPr>
              <w:t xml:space="preserve">脱离致命原因 </w:t>
            </w:r>
            <w:r>
              <w:rPr>
                <w:rFonts w:hint="eastAsia" w:ascii="Times New Roman" w:hAnsi="宋体"/>
                <w:bCs/>
                <w:sz w:val="24"/>
                <w:szCs w:val="24"/>
                <w:lang w:val="en-US" w:eastAsia="zh-CN"/>
              </w:rPr>
              <w:t>将伤员救离火源现场后</w:t>
            </w:r>
            <w:r>
              <w:rPr>
                <w:rFonts w:hint="default" w:ascii="Times New Roman" w:hAnsi="宋体"/>
                <w:bCs/>
                <w:sz w:val="24"/>
                <w:szCs w:val="24"/>
                <w:lang w:val="en-US" w:eastAsia="zh-CN"/>
              </w:rPr>
              <w:t xml:space="preserve">，迅速脱去着火衣物、立即卧倒就地慢慢滚动，并用湿衣物扑打或覆盖灭火，或用水浇灭。切勿惊慌乱跑、呼喊或用手打，以免火借风势燃烧更旺和引起呼吸道烧伤，或引起双手烧伤。 </w:t>
            </w:r>
          </w:p>
          <w:p w14:paraId="025B4320">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Cs/>
                <w:sz w:val="24"/>
                <w:szCs w:val="24"/>
              </w:rPr>
            </w:pPr>
            <w:r>
              <w:rPr>
                <w:rFonts w:hint="default" w:ascii="Times New Roman" w:hAnsi="宋体"/>
                <w:b/>
                <w:bCs w:val="0"/>
                <w:sz w:val="24"/>
                <w:szCs w:val="24"/>
                <w:lang w:val="en-US" w:eastAsia="zh-CN"/>
              </w:rPr>
              <w:t>2. 保护创面</w:t>
            </w:r>
            <w:r>
              <w:rPr>
                <w:rFonts w:hint="default" w:ascii="Times New Roman" w:hAnsi="宋体"/>
                <w:bCs/>
                <w:sz w:val="24"/>
                <w:szCs w:val="24"/>
                <w:lang w:val="en-US" w:eastAsia="zh-CN"/>
              </w:rPr>
              <w:t xml:space="preserve"> 将创面用清洁的被单、衣物等简单包裹，以免污染或再损伤，也不要用有颜色的外用药，以免影响以后对烧伤深度的估计。 </w:t>
            </w:r>
          </w:p>
          <w:p w14:paraId="7E67BC24">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Cs/>
                <w:sz w:val="24"/>
                <w:szCs w:val="24"/>
              </w:rPr>
            </w:pPr>
            <w:r>
              <w:rPr>
                <w:rFonts w:hint="default" w:ascii="Times New Roman" w:hAnsi="宋体"/>
                <w:b/>
                <w:bCs w:val="0"/>
                <w:sz w:val="24"/>
                <w:szCs w:val="24"/>
                <w:lang w:val="en-US" w:eastAsia="zh-CN"/>
              </w:rPr>
              <w:t>3. 镇静止痛</w:t>
            </w:r>
            <w:r>
              <w:rPr>
                <w:rFonts w:hint="default" w:ascii="Times New Roman" w:hAnsi="宋体"/>
                <w:bCs/>
                <w:sz w:val="24"/>
                <w:szCs w:val="24"/>
                <w:lang w:val="en-US" w:eastAsia="zh-CN"/>
              </w:rPr>
              <w:t xml:space="preserve"> 烧伤患者都有较剧烈的疼痛并烦躁不安，应给予安慰和鼓励，使其情绪稳定，安静合作；酌情使用镇痛剂﹙如哌替啶﹚，轻度烧伤患者可采用肌内注射或口服给药，重症患者微循环障碍，肌内注射吸收不良，故需静脉给药﹙一岁以下婴儿禁忌用上述止痛药﹚。对于所用药物名称、剂量、给药途径、时间必须详细记录。 </w:t>
            </w:r>
          </w:p>
          <w:p w14:paraId="56A0D2B3">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Cs/>
                <w:sz w:val="24"/>
                <w:szCs w:val="24"/>
              </w:rPr>
            </w:pPr>
            <w:r>
              <w:rPr>
                <w:rFonts w:hint="default" w:ascii="Times New Roman" w:hAnsi="宋体"/>
                <w:b/>
                <w:bCs w:val="0"/>
                <w:sz w:val="24"/>
                <w:szCs w:val="24"/>
                <w:lang w:val="en-US" w:eastAsia="zh-CN"/>
              </w:rPr>
              <w:t>4. 呼吸道的观察</w:t>
            </w:r>
            <w:r>
              <w:rPr>
                <w:rFonts w:hint="default" w:ascii="Times New Roman" w:hAnsi="宋体"/>
                <w:bCs/>
                <w:sz w:val="24"/>
                <w:szCs w:val="24"/>
                <w:lang w:val="en-US" w:eastAsia="zh-CN"/>
              </w:rPr>
              <w:t xml:space="preserve"> 对于颜面烧伤的患者，或现场发生在密闭环境中，很有可能发生呼吸道烧伤，抢救室应注意检查，嗅闻患者有无烟熏味、观察痰中和口腔内是否存在碳颗粒、口腔黏膜是否红肿、声音是否嘶哑、有无呼吸困难，听诊有无呼气性哮鸣音。呼吸道受刺激后可很快出现喉头水肿引起窒息，要严密和观察，做好气管切开准备。胸部的环行深度烧伤也可限制呼吸，要注意及时切痂松懈。 </w:t>
            </w:r>
          </w:p>
          <w:p w14:paraId="2EA3FBC4">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Cs/>
                <w:sz w:val="24"/>
                <w:szCs w:val="24"/>
              </w:rPr>
            </w:pPr>
            <w:r>
              <w:rPr>
                <w:rFonts w:hint="default" w:ascii="Times New Roman" w:hAnsi="宋体"/>
                <w:b/>
                <w:bCs w:val="0"/>
                <w:sz w:val="24"/>
                <w:szCs w:val="24"/>
                <w:lang w:val="en-US" w:eastAsia="zh-CN"/>
              </w:rPr>
              <w:t>5. 转送</w:t>
            </w:r>
            <w:r>
              <w:rPr>
                <w:rFonts w:hint="default" w:ascii="Times New Roman" w:hAnsi="宋体"/>
                <w:bCs/>
                <w:sz w:val="24"/>
                <w:szCs w:val="24"/>
                <w:lang w:val="en-US" w:eastAsia="zh-CN"/>
              </w:rPr>
              <w:t xml:space="preserve"> 对于重症患者最好在伤后 2 ～ 3 小时内转送到医院，或等到休克期度过再转送，切记休克期高峰时转送。 </w:t>
            </w:r>
          </w:p>
          <w:p w14:paraId="323294FD">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
                <w:bCs w:val="0"/>
                <w:sz w:val="24"/>
                <w:szCs w:val="24"/>
              </w:rPr>
            </w:pPr>
            <w:r>
              <w:rPr>
                <w:rFonts w:hint="default" w:ascii="Times New Roman" w:hAnsi="宋体"/>
                <w:b/>
                <w:bCs w:val="0"/>
                <w:sz w:val="24"/>
                <w:szCs w:val="24"/>
                <w:lang w:val="en-US" w:eastAsia="zh-CN"/>
              </w:rPr>
              <w:t xml:space="preserve">（二）全身疗法 </w:t>
            </w:r>
          </w:p>
          <w:p w14:paraId="38265B3F">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对大面积深度烧伤，应积极休克，控制败血症，防止并发症和全身支持。 </w:t>
            </w:r>
          </w:p>
          <w:p w14:paraId="1296F5DA">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Cs/>
                <w:sz w:val="24"/>
                <w:szCs w:val="24"/>
              </w:rPr>
            </w:pPr>
            <w:r>
              <w:rPr>
                <w:rFonts w:hint="default" w:ascii="Times New Roman" w:hAnsi="宋体"/>
                <w:b/>
                <w:bCs w:val="0"/>
                <w:sz w:val="24"/>
                <w:szCs w:val="24"/>
                <w:lang w:val="en-US" w:eastAsia="zh-CN"/>
              </w:rPr>
              <w:t>1. 抗休克</w:t>
            </w:r>
            <w:r>
              <w:rPr>
                <w:rFonts w:hint="default" w:ascii="Times New Roman" w:hAnsi="宋体"/>
                <w:bCs/>
                <w:sz w:val="24"/>
                <w:szCs w:val="24"/>
                <w:lang w:val="en-US" w:eastAsia="zh-CN"/>
              </w:rPr>
              <w:t xml:space="preserve"> 液体疗法是防治休克的主要措施。</w:t>
            </w:r>
          </w:p>
          <w:p w14:paraId="5946092B">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eastAsia" w:ascii="Times New Roman" w:hAnsi="宋体"/>
                <w:bCs/>
                <w:sz w:val="24"/>
                <w:szCs w:val="24"/>
                <w:lang w:val="en-US" w:eastAsia="zh-CN"/>
              </w:rPr>
              <w:t>（</w:t>
            </w:r>
            <w:r>
              <w:rPr>
                <w:rFonts w:hint="default" w:ascii="Times New Roman" w:hAnsi="宋体"/>
                <w:bCs/>
                <w:sz w:val="24"/>
                <w:szCs w:val="24"/>
                <w:lang w:val="en-US" w:eastAsia="zh-CN"/>
              </w:rPr>
              <w:t>1）估计补液总量：伤后第1个24小时补液量（mL）=（Ⅱ度</w:t>
            </w:r>
            <w:r>
              <w:rPr>
                <w:rFonts w:hint="eastAsia" w:ascii="Times New Roman" w:hAnsi="宋体"/>
                <w:bCs/>
                <w:sz w:val="24"/>
                <w:szCs w:val="24"/>
                <w:lang w:val="en-US" w:eastAsia="zh-CN"/>
              </w:rPr>
              <w:t>～</w:t>
            </w:r>
            <w:r>
              <w:rPr>
                <w:rFonts w:hint="default" w:ascii="Times New Roman" w:hAnsi="宋体"/>
                <w:bCs/>
                <w:sz w:val="24"/>
                <w:szCs w:val="24"/>
                <w:lang w:val="en-US" w:eastAsia="zh-CN"/>
              </w:rPr>
              <w:t>Ⅲ度）烧伤面积（</w:t>
            </w:r>
            <w:r>
              <w:rPr>
                <w:rFonts w:hint="eastAsia" w:ascii="Times New Roman" w:hAnsi="宋体"/>
                <w:bCs/>
                <w:sz w:val="24"/>
                <w:szCs w:val="24"/>
                <w:lang w:val="en-US" w:eastAsia="zh-CN"/>
              </w:rPr>
              <w:t>%</w:t>
            </w:r>
            <w:r>
              <w:rPr>
                <w:rFonts w:hint="default" w:ascii="Times New Roman" w:hAnsi="宋体"/>
                <w:bCs/>
                <w:sz w:val="24"/>
                <w:szCs w:val="24"/>
                <w:lang w:val="en-US" w:eastAsia="zh-CN"/>
              </w:rPr>
              <w:t xml:space="preserve">）× 体重（kg）× 系数（成人 1.5、小儿 2.0）+2000（生理需要量）。第 2 个 24 小时补液量的一半 +2000（生理需要量）。 </w:t>
            </w:r>
          </w:p>
          <w:p w14:paraId="7C627D32">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（2）补液种类：生理需要量选用 5% 或 10% 葡萄糖注射液补充，其余量用电解质液和胶体补充。胶体液和电解质液一般按 1 : 2 比例分配，如果为重度烧伤可按 1 : 1 的比例补给。 </w:t>
            </w:r>
          </w:p>
          <w:p w14:paraId="2901F607">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（3）估算补液速度：烧伤后 8 小时体液渗出达到高峰，烧伤后第一个 8 小时应输入晶体液和胶体液的一半、生理量的 1/3，其余部分于后 2 个 8 小时内均匀输入。 </w:t>
            </w:r>
          </w:p>
          <w:p w14:paraId="33089A50">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Cs/>
                <w:sz w:val="24"/>
                <w:szCs w:val="24"/>
              </w:rPr>
            </w:pPr>
            <w:r>
              <w:rPr>
                <w:rFonts w:hint="default" w:ascii="Times New Roman" w:hAnsi="宋体"/>
                <w:b/>
                <w:bCs w:val="0"/>
                <w:sz w:val="24"/>
                <w:szCs w:val="24"/>
                <w:lang w:val="en-US" w:eastAsia="zh-CN"/>
              </w:rPr>
              <w:t xml:space="preserve">2. </w:t>
            </w:r>
            <w:r>
              <w:rPr>
                <w:rFonts w:hint="eastAsia" w:ascii="Times New Roman" w:hAnsi="宋体"/>
                <w:b/>
                <w:bCs w:val="0"/>
                <w:sz w:val="24"/>
                <w:szCs w:val="24"/>
                <w:lang w:val="en-US" w:eastAsia="zh-CN"/>
              </w:rPr>
              <w:t>抗感染</w:t>
            </w:r>
            <w:r>
              <w:rPr>
                <w:rFonts w:hint="eastAsia" w:ascii="Times New Roman" w:hAnsi="宋体"/>
                <w:bCs/>
                <w:sz w:val="24"/>
                <w:szCs w:val="24"/>
                <w:lang w:val="en-US" w:eastAsia="zh-CN"/>
              </w:rPr>
              <w:t xml:space="preserve"> 感染是烧伤患者死亡的主要原因</w:t>
            </w:r>
            <w:r>
              <w:rPr>
                <w:rFonts w:hint="default" w:ascii="Times New Roman" w:hAnsi="宋体"/>
                <w:bCs/>
                <w:sz w:val="24"/>
                <w:szCs w:val="24"/>
                <w:lang w:val="en-US" w:eastAsia="zh-CN"/>
              </w:rPr>
              <w:t xml:space="preserve">，感染最常见的致病菌是金黄色葡萄球菌和铜绿假单胞菌。创面污染或中、重度烧伤者，均予注射破伤风抗毒素和全身使用抗菌药物。可先合理选用两种抗菌药物联合抗感染，以后再根据创面细菌培养和药敏试验结果加以调整。 </w:t>
            </w:r>
          </w:p>
          <w:p w14:paraId="5B542D5E">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Cs/>
                <w:sz w:val="24"/>
                <w:szCs w:val="24"/>
              </w:rPr>
            </w:pPr>
            <w:r>
              <w:rPr>
                <w:rFonts w:hint="default" w:ascii="Times New Roman" w:hAnsi="宋体"/>
                <w:b/>
                <w:bCs w:val="0"/>
                <w:sz w:val="24"/>
                <w:szCs w:val="24"/>
                <w:lang w:val="en-US" w:eastAsia="zh-CN"/>
              </w:rPr>
              <w:t>3. 创面处理</w:t>
            </w:r>
            <w:r>
              <w:rPr>
                <w:rFonts w:hint="default" w:ascii="Times New Roman" w:hAnsi="宋体"/>
                <w:bCs/>
                <w:sz w:val="24"/>
                <w:szCs w:val="24"/>
                <w:lang w:val="en-US" w:eastAsia="zh-CN"/>
              </w:rPr>
              <w:t xml:space="preserve"> 创面注意保护隔离，尤其大面积烧伤是正确处理创面是烧伤治疗失败的关键，而创面焦痂的处理又是中心环节。一般原则：Ⅰ度烧伤创面保持清洁。浅Ⅱ度创面应防止感染。深Ⅱ创面要保护残留上皮以减少瘢痕。Ⅲ度创面防止感染，有计划切痂。 </w:t>
            </w:r>
          </w:p>
          <w:p w14:paraId="5CF72C49">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1）初期创面处理：亦称烧伤清创术，目的是尽量清除创面污染，擦洗干净健康皮肤。即用大量灭菌盐水反复冲洗创面及周围皮肤，并清除污垢或异物，水疱已破溃的则应清洗疱皮，焦痂涂碘酊。外用抗菌剂对预防创面感染有效，清创后Ⅱ度创面多选磺胺嘧啶银或湿润烧伤膏等。 </w:t>
            </w:r>
          </w:p>
          <w:p w14:paraId="03EDF7D2">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（2）包扎与暴露： </w:t>
            </w:r>
          </w:p>
          <w:p w14:paraId="0A133D9E">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①包扎：适用于四肢躯干烧伤、无条件暴露、不合作者或门诊患者。用一层油纱或几层药液纱布覆盖清创后的创面，加厚 2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3cm 的吸收敷料并加压包扎。烧伤的手指分开包，关节置于功能位，肢体抬高。若无感染，则在 7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14 天后更换敷料。发生感染，应及时换药 </w:t>
            </w:r>
          </w:p>
          <w:p w14:paraId="60778A20">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②暴露：适用于Ⅲ度烧伤、大面积烧伤、特殊部位（头面部、颈部、会阴部）烧伤及特殊感染（如铜绿假单胞菌、真菌）的创面。 </w:t>
            </w:r>
          </w:p>
          <w:p w14:paraId="32727B4E">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③半暴露：感染创面脓液较多者，用消毒液浸浴后，可用药液纱布 1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2 层覆盖其上。脓液浸透，则随时或每天更换纱布。 </w:t>
            </w:r>
          </w:p>
          <w:p w14:paraId="4EF62036">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（3）焦痂的处理：焦痂在早期具有暂时保护创面作用。但溶解脱落前，易发生败血症。因此，焦痂宜暴露，涂碘酒，保持干燥，不受压。一旦脱痂，需及早植皮覆盖创面。脱痂的方法有： </w:t>
            </w:r>
          </w:p>
          <w:p w14:paraId="6DF78713">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①手术脱痂：采用手术一次或分次早期脱痂，同时植皮，对消灭创面、缩短疗程、预防败血症、减少瘢痕挛缩，均可收到良好效果。但手术创伤大、失血多。 </w:t>
            </w:r>
          </w:p>
          <w:p w14:paraId="2CA9F895">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②削痂法：适用于深Ⅱ度烧伤，特别是关节等功能部位。肢体削痂一般深Ⅱ度至银灰色显有光泽的创面。切忌过深，以保持创面新鲜为准。 </w:t>
            </w:r>
          </w:p>
          <w:p w14:paraId="001B713D">
            <w:pPr>
              <w:keepNext w:val="0"/>
              <w:keepLines w:val="0"/>
              <w:widowControl/>
              <w:suppressLineNumbers w:val="0"/>
              <w:spacing w:before="0" w:beforeAutospacing="0" w:after="0" w:afterAutospacing="0" w:line="360" w:lineRule="auto"/>
              <w:ind w:left="0" w:right="0" w:firstLine="480" w:firstLineChars="200"/>
              <w:jc w:val="both"/>
              <w:rPr>
                <w:rFonts w:hint="eastAsia" w:ascii="Times New Roman" w:hAnsi="宋体"/>
                <w:bCs/>
                <w:sz w:val="24"/>
                <w:szCs w:val="24"/>
              </w:rPr>
            </w:pPr>
            <w:r>
              <w:rPr>
                <w:rFonts w:hint="default" w:ascii="Times New Roman" w:hAnsi="宋体"/>
                <w:bCs/>
                <w:sz w:val="24"/>
                <w:szCs w:val="24"/>
                <w:lang w:val="en-US" w:eastAsia="zh-CN"/>
              </w:rPr>
              <w:t xml:space="preserve">③切痂法：适用于Ⅲ度烧伤。应在休克期后、焦痂溶解前，即烧伤后 3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14 天内一期或分批切痂。</w:t>
            </w:r>
          </w:p>
          <w:p w14:paraId="3BC7EBD2">
            <w:pPr>
              <w:keepNext w:val="0"/>
              <w:keepLines w:val="0"/>
              <w:widowControl/>
              <w:suppressLineNumbers w:val="0"/>
              <w:spacing w:before="0" w:beforeAutospacing="0" w:after="0" w:afterAutospacing="0" w:line="360" w:lineRule="auto"/>
              <w:ind w:left="0" w:right="0" w:firstLine="482" w:firstLineChars="200"/>
              <w:jc w:val="both"/>
              <w:rPr>
                <w:rFonts w:hint="eastAsia" w:ascii="Times New Roman" w:hAnsi="宋体"/>
                <w:bCs/>
                <w:sz w:val="24"/>
                <w:szCs w:val="24"/>
              </w:rPr>
            </w:pPr>
            <w:r>
              <w:rPr>
                <w:rFonts w:hint="default" w:ascii="Times New Roman" w:hAnsi="宋体"/>
                <w:b/>
                <w:bCs w:val="0"/>
                <w:sz w:val="24"/>
                <w:szCs w:val="24"/>
                <w:lang w:val="en-US" w:eastAsia="zh-CN"/>
              </w:rPr>
              <w:t xml:space="preserve">4. </w:t>
            </w:r>
            <w:r>
              <w:rPr>
                <w:rFonts w:hint="eastAsia" w:ascii="Times New Roman" w:hAnsi="宋体"/>
                <w:b/>
                <w:bCs w:val="0"/>
                <w:sz w:val="24"/>
                <w:szCs w:val="24"/>
                <w:lang w:val="en-US" w:eastAsia="zh-CN"/>
              </w:rPr>
              <w:t>植皮</w:t>
            </w:r>
            <w:r>
              <w:rPr>
                <w:rFonts w:hint="eastAsia" w:ascii="Times New Roman" w:hAnsi="宋体"/>
                <w:bCs/>
                <w:sz w:val="24"/>
                <w:szCs w:val="24"/>
                <w:lang w:val="en-US" w:eastAsia="zh-CN"/>
              </w:rPr>
              <w:t xml:space="preserve"> 尽早自体皮移植，</w:t>
            </w:r>
            <w:r>
              <w:rPr>
                <w:rFonts w:hint="default" w:ascii="Times New Roman" w:hAnsi="宋体"/>
                <w:bCs/>
                <w:sz w:val="24"/>
                <w:szCs w:val="24"/>
                <w:lang w:val="en-US" w:eastAsia="zh-CN"/>
              </w:rPr>
              <w:t xml:space="preserve">不够则用异体皮覆盖创面，大面积烧伤患者可反复取用头皮，也可 3 周后除去异体皮，改用培养的自体表皮细胞移植。 </w:t>
            </w:r>
          </w:p>
          <w:p w14:paraId="73A86C1D">
            <w:pPr>
              <w:keepNext w:val="0"/>
              <w:keepLines w:val="0"/>
              <w:widowControl/>
              <w:suppressLineNumbers w:val="0"/>
              <w:spacing w:before="0" w:beforeAutospacing="0" w:after="0" w:afterAutospacing="0" w:line="360" w:lineRule="auto"/>
              <w:ind w:left="0" w:right="0" w:firstLine="482" w:firstLineChars="200"/>
              <w:jc w:val="both"/>
              <w:rPr>
                <w:rFonts w:hint="default" w:ascii="方正书宋简体" w:hAnsi="方正书宋简体" w:eastAsia="方正书宋简体" w:cs="方正书宋简体"/>
                <w:color w:val="231F20"/>
                <w:kern w:val="0"/>
                <w:sz w:val="24"/>
                <w:szCs w:val="24"/>
                <w:lang w:val="en-US" w:eastAsia="zh-CN" w:bidi="ar"/>
              </w:rPr>
            </w:pPr>
            <w:r>
              <w:rPr>
                <w:rFonts w:hint="default" w:ascii="Times New Roman" w:hAnsi="宋体"/>
                <w:b/>
                <w:bCs w:val="0"/>
                <w:sz w:val="24"/>
                <w:szCs w:val="24"/>
                <w:lang w:val="en-US" w:eastAsia="zh-CN"/>
              </w:rPr>
              <w:t>5. 感染创面及处理</w:t>
            </w:r>
            <w:r>
              <w:rPr>
                <w:rFonts w:hint="default" w:ascii="Times New Roman" w:hAnsi="宋体"/>
                <w:bCs/>
                <w:sz w:val="24"/>
                <w:szCs w:val="24"/>
                <w:lang w:val="en-US" w:eastAsia="zh-CN"/>
              </w:rPr>
              <w:t xml:space="preserve"> 创面脓性分泌物选用湿敷、半暴露法或浸浴法去除，勿使形成脓痂。 </w:t>
            </w:r>
          </w:p>
          <w:p w14:paraId="40F3892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jc w:val="both"/>
              <w:textAlignment w:val="auto"/>
              <w:rPr>
                <w:rFonts w:hint="eastAsia" w:ascii="宋体" w:hAnsi="宋体" w:eastAsia="宋体" w:cs="宋体"/>
                <w:color w:val="538135"/>
                <w:kern w:val="2"/>
                <w:sz w:val="24"/>
                <w:szCs w:val="24"/>
                <w:lang w:val="en-US" w:eastAsia="zh-CN" w:bidi="ar"/>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96" w:type="dxa"/>
            <w:tcBorders>
              <w:tl2br w:val="nil"/>
              <w:tr2bl w:val="nil"/>
            </w:tcBorders>
            <w:vAlign w:val="center"/>
          </w:tcPr>
          <w:p w14:paraId="2251EAE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jc w:val="both"/>
              <w:textAlignment w:val="auto"/>
              <w:rPr>
                <w:rFonts w:hint="default" w:ascii="Times New Roman" w:hAnsi="Times New Roman"/>
                <w:sz w:val="24"/>
                <w:szCs w:val="24"/>
              </w:rPr>
            </w:pPr>
            <w:r>
              <w:rPr>
                <w:rFonts w:hint="eastAsia" w:ascii="Times New Roman" w:hAnsi="Times New Roman"/>
                <w:b/>
                <w:sz w:val="24"/>
                <w:szCs w:val="24"/>
              </w:rPr>
              <w:t>通过教师讲解，了解说</w:t>
            </w:r>
            <w:r>
              <w:rPr>
                <w:rFonts w:hint="eastAsia" w:ascii="Times New Roman" w:hAnsi="Times New Roman"/>
                <w:b/>
                <w:sz w:val="24"/>
                <w:szCs w:val="24"/>
                <w:lang w:val="en-US" w:eastAsia="zh-CN"/>
              </w:rPr>
              <w:t>烧伤</w:t>
            </w:r>
            <w:r>
              <w:rPr>
                <w:rFonts w:hint="eastAsia" w:ascii="Times New Roman" w:hAnsi="Times New Roman"/>
                <w:b/>
                <w:sz w:val="24"/>
                <w:szCs w:val="24"/>
              </w:rPr>
              <w:t>的基本理论知识。</w:t>
            </w:r>
          </w:p>
        </w:tc>
      </w:tr>
      <w:tr w14:paraId="13A52630">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9CD4611">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7E141256">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3min</w:t>
            </w:r>
            <w:r>
              <w:rPr>
                <w:rFonts w:hint="eastAsia" w:ascii="宋体" w:hAnsi="宋体" w:eastAsia="宋体" w:cs="宋体"/>
                <w:kern w:val="2"/>
                <w:sz w:val="24"/>
                <w:szCs w:val="24"/>
                <w:lang w:val="en-US" w:eastAsia="zh-CN" w:bidi="ar"/>
              </w:rPr>
              <w:t>）</w:t>
            </w:r>
          </w:p>
        </w:tc>
        <w:tc>
          <w:tcPr>
            <w:tcW w:w="7208" w:type="dxa"/>
            <w:tcBorders>
              <w:tl2br w:val="nil"/>
              <w:tr2bl w:val="nil"/>
            </w:tcBorders>
            <w:vAlign w:val="center"/>
          </w:tcPr>
          <w:p w14:paraId="3175794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both"/>
              <w:textAlignment w:val="auto"/>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34FF552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firstLine="482" w:firstLineChars="200"/>
              <w:jc w:val="both"/>
              <w:textAlignment w:val="auto"/>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这节课我们一起学习了烧伤，了解</w:t>
            </w:r>
            <w:r>
              <w:rPr>
                <w:rFonts w:hint="default" w:ascii="宋体" w:hAnsi="宋体" w:eastAsia="宋体" w:cs="宋体"/>
                <w:b/>
                <w:bCs w:val="0"/>
                <w:kern w:val="2"/>
                <w:sz w:val="24"/>
                <w:szCs w:val="24"/>
                <w:lang w:val="en-US" w:eastAsia="zh-CN" w:bidi="ar"/>
              </w:rPr>
              <w:t>创面脓性分泌物选用湿敷、半暴露法或浸浴法去除，勿使形成脓痂。</w:t>
            </w:r>
          </w:p>
        </w:tc>
        <w:tc>
          <w:tcPr>
            <w:tcW w:w="1696" w:type="dxa"/>
            <w:tcBorders>
              <w:tl2br w:val="nil"/>
              <w:tr2bl w:val="nil"/>
            </w:tcBorders>
            <w:vAlign w:val="center"/>
          </w:tcPr>
          <w:p w14:paraId="1492DB36">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0AD3E088">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9B1C850">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2min</w:t>
            </w:r>
            <w:r>
              <w:rPr>
                <w:rFonts w:hint="eastAsia" w:ascii="宋体" w:hAnsi="宋体" w:eastAsia="宋体" w:cs="宋体"/>
                <w:kern w:val="2"/>
                <w:sz w:val="24"/>
                <w:szCs w:val="24"/>
                <w:lang w:val="en-US" w:eastAsia="zh-CN" w:bidi="ar"/>
              </w:rPr>
              <w:t>）</w:t>
            </w:r>
          </w:p>
        </w:tc>
        <w:tc>
          <w:tcPr>
            <w:tcW w:w="7208" w:type="dxa"/>
            <w:tcBorders>
              <w:tl2br w:val="nil"/>
              <w:tr2bl w:val="nil"/>
            </w:tcBorders>
            <w:vAlign w:val="center"/>
          </w:tcPr>
          <w:p w14:paraId="461AAEB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both"/>
              <w:textAlignment w:val="auto"/>
              <w:rPr>
                <w:rFonts w:hint="eastAsia" w:ascii="宋体" w:hAnsi="宋体" w:eastAsia="宋体" w:cs="宋体"/>
                <w:b w:val="0"/>
                <w:bCs/>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14:paraId="7B3D8EC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firstLine="482" w:firstLineChars="200"/>
              <w:jc w:val="both"/>
              <w:textAlignment w:val="auto"/>
              <w:rPr>
                <w:rFonts w:hint="eastAsia" w:ascii="Times New Roman" w:hAnsi="Times New Roman" w:eastAsia="宋体" w:cs="Times New Roman"/>
                <w:b/>
                <w:bCs w:val="0"/>
                <w:kern w:val="2"/>
                <w:sz w:val="24"/>
                <w:szCs w:val="24"/>
                <w:lang w:val="en-US" w:eastAsia="zh-CN" w:bidi="ar-SA"/>
              </w:rPr>
            </w:pPr>
            <w:r>
              <w:rPr>
                <w:rFonts w:hint="eastAsia" w:ascii="Times New Roman" w:hAnsi="宋体"/>
                <w:b/>
                <w:bCs w:val="0"/>
                <w:sz w:val="24"/>
                <w:szCs w:val="24"/>
                <w:lang w:val="en-US" w:eastAsia="zh-CN"/>
              </w:rPr>
              <w:t>简述</w:t>
            </w:r>
            <w:r>
              <w:rPr>
                <w:rFonts w:hint="default" w:ascii="Times New Roman" w:hAnsi="宋体"/>
                <w:b/>
                <w:bCs w:val="0"/>
                <w:sz w:val="24"/>
                <w:szCs w:val="24"/>
                <w:lang w:val="en-US" w:eastAsia="zh-CN"/>
              </w:rPr>
              <w:t>全身疗法</w:t>
            </w:r>
            <w:r>
              <w:rPr>
                <w:rFonts w:hint="eastAsia" w:ascii="Times New Roman" w:hAnsi="宋体"/>
                <w:b/>
                <w:bCs w:val="0"/>
                <w:sz w:val="24"/>
                <w:szCs w:val="24"/>
                <w:lang w:val="en-US" w:eastAsia="zh-CN"/>
              </w:rPr>
              <w:t>。</w:t>
            </w:r>
          </w:p>
        </w:tc>
        <w:tc>
          <w:tcPr>
            <w:tcW w:w="1696" w:type="dxa"/>
            <w:tcBorders>
              <w:tl2br w:val="nil"/>
              <w:tr2bl w:val="nil"/>
            </w:tcBorders>
            <w:vAlign w:val="center"/>
          </w:tcPr>
          <w:p w14:paraId="6F284EF8">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通过课后练习，使学生巩固所学新知识</w:t>
            </w:r>
          </w:p>
        </w:tc>
      </w:tr>
      <w:tr w14:paraId="6FA87B7D">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F04068E">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8904" w:type="dxa"/>
            <w:gridSpan w:val="2"/>
            <w:tcBorders>
              <w:tl2br w:val="nil"/>
              <w:tr2bl w:val="nil"/>
            </w:tcBorders>
            <w:vAlign w:val="center"/>
          </w:tcPr>
          <w:p w14:paraId="6F4E15D6">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default" w:ascii="Times New Roman" w:hAnsi="Times New Roman"/>
                <w:sz w:val="24"/>
                <w:szCs w:val="24"/>
              </w:rPr>
              <w:t>巧用启发思维，让</w:t>
            </w:r>
            <w:r>
              <w:rPr>
                <w:rFonts w:hint="eastAsia" w:ascii="Times New Roman" w:hAnsi="Times New Roman"/>
                <w:sz w:val="24"/>
                <w:szCs w:val="24"/>
                <w:lang w:val="en-US" w:eastAsia="zh-CN"/>
              </w:rPr>
              <w:t>学生</w:t>
            </w:r>
            <w:r>
              <w:rPr>
                <w:rFonts w:hint="default" w:ascii="Times New Roman" w:hAnsi="Times New Roman"/>
                <w:sz w:val="24"/>
                <w:szCs w:val="24"/>
              </w:rPr>
              <w:t>能体会到举一反三，做到有所领悟和创新，掌握一定的训练规律。</w:t>
            </w:r>
          </w:p>
        </w:tc>
      </w:tr>
    </w:tbl>
    <w:p w14:paraId="39D4ED38"/>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PinYinok">
    <w:altName w:val="Segoe Print"/>
    <w:panose1 w:val="020B0603050302020204"/>
    <w:charset w:val="00"/>
    <w:family w:val="swiss"/>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微软简老宋">
    <w:altName w:val="宋体"/>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方正书宋简体">
    <w:altName w:val="宋体"/>
    <w:panose1 w:val="00000000000000000000"/>
    <w:charset w:val="00"/>
    <w:family w:val="auto"/>
    <w:pitch w:val="default"/>
    <w:sig w:usb0="00000000" w:usb1="00000000" w:usb2="00000000" w:usb3="00000000" w:csb0="00000000"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AA8999">
    <w:pPr>
      <w:pStyle w:val="9"/>
      <w:pBdr>
        <w:bottom w:val="none" w:color="auto" w:sz="0" w:space="1"/>
      </w:pBdr>
      <w:rPr>
        <w:rFonts w:hint="eastAsia" w:eastAsia="宋体"/>
        <w:lang w:eastAsia="zh-CN"/>
      </w:rPr>
    </w:pPr>
    <w:r>
      <w:rPr>
        <w:sz w:val="18"/>
      </w:rPr>
      <mc:AlternateContent>
        <mc:Choice Requires="wps">
          <w:drawing>
            <wp:anchor distT="0" distB="0" distL="114300" distR="114300" simplePos="0" relativeHeight="251661312"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1312;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rPr>
        <w:rFonts w:hint="eastAsia" w:eastAsia="宋体"/>
        <w:lang w:eastAsia="zh-CN"/>
      </w:rPr>
      <w:drawing>
        <wp:anchor distT="0" distB="0" distL="114300" distR="114300" simplePos="0" relativeHeight="251660288"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p w14:paraId="45910D10">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1"/>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084E865">
    <w:pPr>
      <w:pStyle w:val="9"/>
      <w:pBdr>
        <w:bottom w:val="none" w:color="auto" w:sz="0" w:space="1"/>
      </w:pBdr>
      <w:rPr>
        <w:rFonts w:hint="eastAsia" w:eastAsia="宋体"/>
        <w:lang w:eastAsia="zh-CN"/>
      </w:rPr>
    </w:pPr>
    <w:r>
      <w:rPr>
        <w:rFonts w:hint="eastAsia" w:eastAsia="宋体"/>
        <w:lang w:eastAsia="zh-CN"/>
      </w:rPr>
      <w:drawing>
        <wp:anchor distT="0" distB="0" distL="114300" distR="114300" simplePos="0" relativeHeight="251659264" behindDoc="1" locked="0" layoutInCell="1" allowOverlap="1">
          <wp:simplePos x="0" y="0"/>
          <wp:positionH relativeFrom="column">
            <wp:posOffset>-115570</wp:posOffset>
          </wp:positionH>
          <wp:positionV relativeFrom="paragraph">
            <wp:posOffset>-367030</wp:posOffset>
          </wp:positionV>
          <wp:extent cx="7559040" cy="10692130"/>
          <wp:effectExtent l="0" t="0" r="3810" b="13970"/>
          <wp:wrapNone/>
          <wp:docPr id="3" name="图片 3" descr="医学封面背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医学封面背景"/>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UwZDJhYjUyNWMyYTM4YmY1YzczYWE4MTIwOWE1NDY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34F46F4"/>
    <w:rsid w:val="0AC91BFE"/>
    <w:rsid w:val="0E3C75E8"/>
    <w:rsid w:val="168A4CDD"/>
    <w:rsid w:val="1FB84519"/>
    <w:rsid w:val="20F13C9B"/>
    <w:rsid w:val="238347DF"/>
    <w:rsid w:val="24043D1E"/>
    <w:rsid w:val="249A6912"/>
    <w:rsid w:val="24B477DD"/>
    <w:rsid w:val="278141AB"/>
    <w:rsid w:val="28B578A7"/>
    <w:rsid w:val="322A12C5"/>
    <w:rsid w:val="34AD60CD"/>
    <w:rsid w:val="34B67F89"/>
    <w:rsid w:val="368D542E"/>
    <w:rsid w:val="388B134B"/>
    <w:rsid w:val="3D171177"/>
    <w:rsid w:val="436C72A2"/>
    <w:rsid w:val="43CD7F64"/>
    <w:rsid w:val="44B33A23"/>
    <w:rsid w:val="45C91BBA"/>
    <w:rsid w:val="49F8701E"/>
    <w:rsid w:val="4C7F0E23"/>
    <w:rsid w:val="5A7C6694"/>
    <w:rsid w:val="600E33E1"/>
    <w:rsid w:val="622A303A"/>
    <w:rsid w:val="638875DD"/>
    <w:rsid w:val="66DB5643"/>
    <w:rsid w:val="723010AC"/>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semiHidden/>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semiHidden/>
    <w:unhideWhenUsed/>
    <w:qFormat/>
    <w:uiPriority w:val="1"/>
  </w:style>
  <w:style w:type="table" w:default="1" w:styleId="10">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unhideWhenUsed/>
    <w:qFormat/>
    <w:uiPriority w:val="0"/>
    <w:rPr>
      <w:rFonts w:eastAsia="黑体" w:asciiTheme="majorHAnsi" w:hAnsiTheme="majorHAnsi" w:cstheme="majorBidi"/>
      <w:sz w:val="20"/>
      <w:szCs w:val="20"/>
    </w:rPr>
  </w:style>
  <w:style w:type="paragraph" w:styleId="8">
    <w:name w:val="footer"/>
    <w:basedOn w:val="1"/>
    <w:link w:val="19"/>
    <w:unhideWhenUsed/>
    <w:qFormat/>
    <w:uiPriority w:val="99"/>
    <w:pPr>
      <w:tabs>
        <w:tab w:val="center" w:pos="4153"/>
        <w:tab w:val="right" w:pos="8306"/>
      </w:tabs>
      <w:snapToGrid w:val="0"/>
      <w:jc w:val="left"/>
    </w:pPr>
    <w:rPr>
      <w:sz w:val="18"/>
      <w:szCs w:val="18"/>
    </w:rPr>
  </w:style>
  <w:style w:type="paragraph" w:styleId="9">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qFormat/>
    <w:uiPriority w:val="0"/>
    <w:rPr>
      <w:rFonts w:ascii="宋体" w:hAnsi="宋体" w:eastAsia="宋体" w:cs="宋体"/>
      <w:sz w:val="20"/>
      <w:szCs w:val="20"/>
      <w:lang w:val="zh-TW" w:eastAsia="zh-TW" w:bidi="zh-TW"/>
    </w:rPr>
  </w:style>
  <w:style w:type="character" w:customStyle="1" w:styleId="18">
    <w:name w:val="页眉 Char"/>
    <w:basedOn w:val="12"/>
    <w:link w:val="9"/>
    <w:qFormat/>
    <w:uiPriority w:val="99"/>
    <w:rPr>
      <w:rFonts w:ascii="Calibri" w:hAnsi="Calibri" w:eastAsia="宋体" w:cs="Times New Roman"/>
      <w:sz w:val="18"/>
      <w:szCs w:val="18"/>
    </w:rPr>
  </w:style>
  <w:style w:type="character" w:customStyle="1" w:styleId="19">
    <w:name w:val="页脚 Char"/>
    <w:basedOn w:val="12"/>
    <w:link w:val="8"/>
    <w:qFormat/>
    <w:uiPriority w:val="99"/>
    <w:rPr>
      <w:rFonts w:ascii="Calibri" w:hAnsi="Calibri" w:eastAsia="宋体" w:cs="Times New Roman"/>
      <w:sz w:val="18"/>
      <w:szCs w:val="18"/>
    </w:rPr>
  </w:style>
  <w:style w:type="paragraph" w:styleId="20">
    <w:name w:val="List Paragraph"/>
    <w:basedOn w:val="1"/>
    <w:qFormat/>
    <w:uiPriority w:val="34"/>
    <w:pPr>
      <w:ind w:firstLine="420" w:firstLineChars="200"/>
    </w:pPr>
  </w:style>
  <w:style w:type="paragraph" w:customStyle="1" w:styleId="21">
    <w:name w:val="知识拓展内容"/>
    <w:basedOn w:val="1"/>
    <w:link w:val="22"/>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qFormat/>
    <w:uiPriority w:val="0"/>
    <w:rPr>
      <w:rFonts w:ascii="Times New Roman" w:hAnsi="Times New Roman" w:eastAsia="方正宋黑_GBK" w:cs="Times New Roman"/>
      <w:color w:val="E4007F"/>
      <w:sz w:val="26"/>
      <w:szCs w:val="20"/>
    </w:rPr>
  </w:style>
  <w:style w:type="character" w:customStyle="1" w:styleId="24">
    <w:name w:val="字符样式 拼音字体"/>
    <w:qFormat/>
    <w:uiPriority w:val="0"/>
    <w:rPr>
      <w:rFonts w:ascii="PinYinok" w:hAnsi="PinYinok"/>
      <w:sz w:val="24"/>
      <w:szCs w:val="24"/>
    </w:rPr>
  </w:style>
  <w:style w:type="character" w:customStyle="1" w:styleId="25">
    <w:name w:val="标题 5 Char"/>
    <w:basedOn w:val="12"/>
    <w:link w:val="5"/>
    <w:semiHidden/>
    <w:qFormat/>
    <w:uiPriority w:val="9"/>
    <w:rPr>
      <w:rFonts w:ascii="Calibri" w:hAnsi="Calibri" w:eastAsia="宋体" w:cs="Times New Roman"/>
      <w:b/>
      <w:bCs/>
      <w:sz w:val="28"/>
      <w:szCs w:val="28"/>
    </w:rPr>
  </w:style>
  <w:style w:type="character" w:customStyle="1" w:styleId="26">
    <w:name w:val="标题 6 Char"/>
    <w:basedOn w:val="12"/>
    <w:link w:val="6"/>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qFormat/>
    <w:uiPriority w:val="0"/>
    <w:pPr>
      <w:spacing w:before="120"/>
      <w:jc w:val="center"/>
    </w:pPr>
    <w:rPr>
      <w:rFonts w:ascii="Times New Roman" w:hAnsi="Times New Roman"/>
      <w:szCs w:val="20"/>
    </w:rPr>
  </w:style>
  <w:style w:type="character" w:customStyle="1" w:styleId="28">
    <w:name w:val="题注 Char"/>
    <w:link w:val="7"/>
    <w:qFormat/>
    <w:locked/>
    <w:uiPriority w:val="0"/>
    <w:rPr>
      <w:rFonts w:eastAsia="黑体" w:asciiTheme="majorHAnsi" w:hAnsiTheme="majorHAnsi" w:cstheme="majorBidi"/>
      <w:sz w:val="20"/>
      <w:szCs w:val="20"/>
    </w:rPr>
  </w:style>
  <w:style w:type="character" w:customStyle="1" w:styleId="29">
    <w:name w:val="图片 Char"/>
    <w:link w:val="27"/>
    <w:qFormat/>
    <w:locked/>
    <w:uiPriority w:val="0"/>
    <w:rPr>
      <w:rFonts w:ascii="Times New Roman" w:hAnsi="Times New Roman" w:eastAsia="宋体" w:cs="Times New Roman"/>
      <w:szCs w:val="20"/>
    </w:rPr>
  </w:style>
  <w:style w:type="character" w:customStyle="1" w:styleId="30">
    <w:name w:val="标题 3 Char"/>
    <w:basedOn w:val="12"/>
    <w:link w:val="3"/>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1.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19</Pages>
  <Words>11692</Words>
  <Characters>12062</Characters>
  <Lines>1</Lines>
  <Paragraphs>1</Paragraphs>
  <TotalTime>0</TotalTime>
  <ScaleCrop>false</ScaleCrop>
  <LinksUpToDate>false</LinksUpToDate>
  <CharactersWithSpaces>12554</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Administrator</cp:lastModifiedBy>
  <dcterms:modified xsi:type="dcterms:W3CDTF">2025-09-05T03:12:55Z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C2C0F08D042C42EFAA7FA92164594F5A_13</vt:lpwstr>
  </property>
  <property fmtid="{D5CDD505-2E9C-101B-9397-08002B2CF9AE}" pid="4" name="KSOTemplateDocerSaveRecord">
    <vt:lpwstr>eyJoZGlkIjoiMGQ2MWZjZjk2MDJkNDExMGZjMzQxZTk4OTVmYzBiNzYifQ==</vt:lpwstr>
  </property>
</Properties>
</file>